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F9BF" w14:textId="77777777" w:rsidR="00500937" w:rsidRPr="00B600D9" w:rsidRDefault="009F60BB" w:rsidP="00077916">
      <w:pPr>
        <w:jc w:val="both"/>
        <w:rPr>
          <w:rFonts w:ascii="Century Gothic" w:hAnsi="Century Gothic"/>
          <w:b/>
        </w:rPr>
      </w:pPr>
      <w:bookmarkStart w:id="0" w:name="_GoBack"/>
      <w:bookmarkEnd w:id="0"/>
      <w:r w:rsidRPr="00B600D9">
        <w:rPr>
          <w:rFonts w:ascii="Century Gothic" w:hAnsi="Century Gothic"/>
          <w:noProof/>
          <w:lang w:eastAsia="en-GB"/>
        </w:rPr>
        <w:drawing>
          <wp:anchor distT="0" distB="0" distL="114300" distR="114300" simplePos="0" relativeHeight="251659264" behindDoc="0" locked="0" layoutInCell="1" allowOverlap="1" wp14:anchorId="1DA0E011" wp14:editId="3FC0C019">
            <wp:simplePos x="0" y="0"/>
            <wp:positionH relativeFrom="margin">
              <wp:posOffset>1362807</wp:posOffset>
            </wp:positionH>
            <wp:positionV relativeFrom="paragraph">
              <wp:posOffset>489</wp:posOffset>
            </wp:positionV>
            <wp:extent cx="3093085" cy="1264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085" cy="1264285"/>
                    </a:xfrm>
                    <a:prstGeom prst="rect">
                      <a:avLst/>
                    </a:prstGeom>
                    <a:noFill/>
                    <a:ln>
                      <a:noFill/>
                    </a:ln>
                  </pic:spPr>
                </pic:pic>
              </a:graphicData>
            </a:graphic>
          </wp:anchor>
        </w:drawing>
      </w:r>
    </w:p>
    <w:p w14:paraId="7A8AEEBF" w14:textId="77777777" w:rsidR="009F60BB" w:rsidRPr="00B600D9" w:rsidRDefault="009F60BB" w:rsidP="00077916">
      <w:pPr>
        <w:jc w:val="both"/>
        <w:rPr>
          <w:rFonts w:ascii="Century Gothic" w:hAnsi="Century Gothic"/>
          <w:b/>
        </w:rPr>
      </w:pPr>
    </w:p>
    <w:p w14:paraId="3EF617D6" w14:textId="77777777" w:rsidR="009F60BB" w:rsidRPr="00B600D9" w:rsidRDefault="009F60BB" w:rsidP="00077916">
      <w:pPr>
        <w:jc w:val="both"/>
        <w:rPr>
          <w:rFonts w:ascii="Century Gothic" w:hAnsi="Century Gothic"/>
        </w:rPr>
      </w:pPr>
    </w:p>
    <w:p w14:paraId="01FD4FBA" w14:textId="77777777" w:rsidR="009F60BB" w:rsidRPr="00B600D9" w:rsidRDefault="009F60BB" w:rsidP="00077916">
      <w:pPr>
        <w:jc w:val="both"/>
        <w:rPr>
          <w:rFonts w:ascii="Century Gothic" w:hAnsi="Century Gothic"/>
          <w:b/>
        </w:rPr>
      </w:pPr>
    </w:p>
    <w:p w14:paraId="6DE84405" w14:textId="77777777" w:rsidR="009F60BB" w:rsidRPr="00B600D9" w:rsidRDefault="009F60BB" w:rsidP="0073125B">
      <w:pPr>
        <w:jc w:val="center"/>
        <w:rPr>
          <w:rFonts w:ascii="Century Gothic" w:hAnsi="Century Gothic"/>
          <w:b/>
        </w:rPr>
      </w:pPr>
    </w:p>
    <w:p w14:paraId="02866F88" w14:textId="77777777" w:rsidR="009F60BB" w:rsidRPr="00B600D9" w:rsidRDefault="009F60BB" w:rsidP="0073125B">
      <w:pPr>
        <w:jc w:val="center"/>
        <w:rPr>
          <w:rFonts w:ascii="Century Gothic" w:hAnsi="Century Gothic"/>
          <w:b/>
          <w:sz w:val="32"/>
          <w:szCs w:val="32"/>
        </w:rPr>
      </w:pPr>
      <w:r w:rsidRPr="00B600D9">
        <w:rPr>
          <w:rFonts w:ascii="Century Gothic" w:hAnsi="Century Gothic"/>
          <w:b/>
          <w:sz w:val="32"/>
          <w:szCs w:val="32"/>
        </w:rPr>
        <w:t>‘No Good Options: one year on’</w:t>
      </w:r>
    </w:p>
    <w:p w14:paraId="7A71543F" w14:textId="77777777" w:rsidR="009F60BB" w:rsidRPr="00B600D9" w:rsidRDefault="009F60BB" w:rsidP="0073125B">
      <w:pPr>
        <w:ind w:left="-709" w:right="-472"/>
        <w:jc w:val="center"/>
        <w:rPr>
          <w:rFonts w:ascii="Century Gothic" w:hAnsi="Century Gothic"/>
          <w:b/>
          <w:sz w:val="32"/>
          <w:szCs w:val="32"/>
        </w:rPr>
      </w:pPr>
      <w:r w:rsidRPr="00B600D9">
        <w:rPr>
          <w:rFonts w:ascii="Century Gothic" w:hAnsi="Century Gothic"/>
          <w:b/>
          <w:sz w:val="32"/>
          <w:szCs w:val="32"/>
        </w:rPr>
        <w:t>Minutes of Evidence session 1: Children and young people, and practitioners</w:t>
      </w:r>
    </w:p>
    <w:p w14:paraId="68B9FCA8" w14:textId="77777777" w:rsidR="009F60BB" w:rsidRPr="00B600D9" w:rsidRDefault="009F60BB" w:rsidP="0073125B">
      <w:pPr>
        <w:jc w:val="center"/>
        <w:rPr>
          <w:rFonts w:ascii="Century Gothic" w:hAnsi="Century Gothic"/>
          <w:b/>
          <w:bCs/>
        </w:rPr>
      </w:pPr>
      <w:r w:rsidRPr="00B600D9">
        <w:rPr>
          <w:rFonts w:ascii="Century Gothic" w:hAnsi="Century Gothic"/>
          <w:b/>
          <w:bCs/>
        </w:rPr>
        <w:t>Wednesday 24</w:t>
      </w:r>
      <w:r w:rsidRPr="00B600D9">
        <w:rPr>
          <w:rFonts w:ascii="Century Gothic" w:hAnsi="Century Gothic"/>
          <w:b/>
          <w:bCs/>
          <w:vertAlign w:val="superscript"/>
        </w:rPr>
        <w:t>th</w:t>
      </w:r>
      <w:r w:rsidRPr="00B600D9">
        <w:rPr>
          <w:rFonts w:ascii="Century Gothic" w:hAnsi="Century Gothic"/>
          <w:b/>
          <w:bCs/>
        </w:rPr>
        <w:t xml:space="preserve"> January, 4:30-6:00pm</w:t>
      </w:r>
    </w:p>
    <w:p w14:paraId="421EAF0B" w14:textId="77777777" w:rsidR="009F60BB" w:rsidRPr="00B600D9" w:rsidRDefault="009F60BB" w:rsidP="0073125B">
      <w:pPr>
        <w:jc w:val="center"/>
        <w:rPr>
          <w:rFonts w:ascii="Century Gothic" w:hAnsi="Century Gothic"/>
          <w:b/>
          <w:bCs/>
        </w:rPr>
      </w:pPr>
      <w:r w:rsidRPr="00B600D9">
        <w:rPr>
          <w:rFonts w:ascii="Century Gothic" w:hAnsi="Century Gothic"/>
          <w:b/>
          <w:bCs/>
        </w:rPr>
        <w:t>The Grimond Room, Portcullis House, Houses of Parliament</w:t>
      </w:r>
    </w:p>
    <w:p w14:paraId="24541768" w14:textId="77777777" w:rsidR="0018577B" w:rsidRPr="00B600D9" w:rsidRDefault="0018577B" w:rsidP="00077916">
      <w:pPr>
        <w:pStyle w:val="Default"/>
        <w:jc w:val="both"/>
        <w:rPr>
          <w:rFonts w:ascii="Century Gothic" w:hAnsi="Century Gothic"/>
          <w:sz w:val="22"/>
          <w:szCs w:val="22"/>
        </w:rPr>
      </w:pPr>
    </w:p>
    <w:p w14:paraId="4912B471" w14:textId="1D5DACA0" w:rsidR="0018577B" w:rsidRPr="00B600D9" w:rsidRDefault="0018577B" w:rsidP="00077916">
      <w:pPr>
        <w:pStyle w:val="Default"/>
        <w:jc w:val="both"/>
        <w:rPr>
          <w:rFonts w:ascii="Century Gothic" w:hAnsi="Century Gothic"/>
          <w:sz w:val="22"/>
          <w:szCs w:val="22"/>
        </w:rPr>
      </w:pPr>
      <w:r w:rsidRPr="00B600D9">
        <w:rPr>
          <w:rFonts w:ascii="Century Gothic" w:hAnsi="Century Gothic"/>
          <w:b/>
          <w:bCs/>
          <w:sz w:val="22"/>
          <w:szCs w:val="22"/>
        </w:rPr>
        <w:t>Chair</w:t>
      </w:r>
      <w:r w:rsidRPr="00B600D9">
        <w:rPr>
          <w:rFonts w:ascii="Century Gothic" w:hAnsi="Century Gothic"/>
          <w:sz w:val="22"/>
          <w:szCs w:val="22"/>
        </w:rPr>
        <w:t xml:space="preserve">: Tim Loughton MP </w:t>
      </w:r>
    </w:p>
    <w:p w14:paraId="3C06AF67" w14:textId="12902FF5" w:rsidR="008415FC" w:rsidRPr="00B600D9" w:rsidRDefault="008415FC" w:rsidP="00077916">
      <w:pPr>
        <w:pStyle w:val="Default"/>
        <w:jc w:val="both"/>
        <w:rPr>
          <w:rFonts w:ascii="Century Gothic" w:hAnsi="Century Gothic"/>
          <w:sz w:val="22"/>
          <w:szCs w:val="22"/>
        </w:rPr>
      </w:pPr>
      <w:r w:rsidRPr="00B600D9">
        <w:rPr>
          <w:rFonts w:ascii="Century Gothic" w:hAnsi="Century Gothic"/>
          <w:b/>
          <w:sz w:val="22"/>
          <w:szCs w:val="22"/>
        </w:rPr>
        <w:t xml:space="preserve">Co-Chair: </w:t>
      </w:r>
      <w:r w:rsidRPr="00B600D9">
        <w:rPr>
          <w:rFonts w:ascii="Century Gothic" w:hAnsi="Century Gothic"/>
          <w:sz w:val="22"/>
          <w:szCs w:val="22"/>
        </w:rPr>
        <w:t xml:space="preserve">Baroness </w:t>
      </w:r>
      <w:r w:rsidR="00C81204" w:rsidRPr="00B600D9">
        <w:rPr>
          <w:rFonts w:ascii="Century Gothic" w:hAnsi="Century Gothic"/>
          <w:sz w:val="22"/>
          <w:szCs w:val="22"/>
        </w:rPr>
        <w:t xml:space="preserve">Howarth of </w:t>
      </w:r>
      <w:proofErr w:type="spellStart"/>
      <w:r w:rsidR="00C81204" w:rsidRPr="00B600D9">
        <w:rPr>
          <w:rFonts w:ascii="Century Gothic" w:hAnsi="Century Gothic"/>
          <w:sz w:val="22"/>
          <w:szCs w:val="22"/>
        </w:rPr>
        <w:t>Breckland</w:t>
      </w:r>
      <w:proofErr w:type="spellEnd"/>
    </w:p>
    <w:p w14:paraId="6774B7D6" w14:textId="77777777" w:rsidR="00C81204" w:rsidRPr="00B600D9" w:rsidRDefault="00C81204" w:rsidP="00077916">
      <w:pPr>
        <w:pStyle w:val="Default"/>
        <w:jc w:val="both"/>
        <w:rPr>
          <w:rFonts w:ascii="Century Gothic" w:hAnsi="Century Gothic"/>
          <w:sz w:val="22"/>
          <w:szCs w:val="22"/>
        </w:rPr>
      </w:pPr>
      <w:r w:rsidRPr="00B600D9">
        <w:rPr>
          <w:rFonts w:ascii="Century Gothic" w:hAnsi="Century Gothic"/>
          <w:b/>
          <w:bCs/>
          <w:sz w:val="22"/>
          <w:szCs w:val="22"/>
        </w:rPr>
        <w:t>Secretary</w:t>
      </w:r>
      <w:r w:rsidRPr="00B600D9">
        <w:rPr>
          <w:rFonts w:ascii="Century Gothic" w:hAnsi="Century Gothic"/>
          <w:sz w:val="22"/>
          <w:szCs w:val="22"/>
        </w:rPr>
        <w:t xml:space="preserve">: Baroness Massey of </w:t>
      </w:r>
      <w:proofErr w:type="spellStart"/>
      <w:r w:rsidRPr="00B600D9">
        <w:rPr>
          <w:rFonts w:ascii="Century Gothic" w:hAnsi="Century Gothic"/>
          <w:sz w:val="22"/>
          <w:szCs w:val="22"/>
        </w:rPr>
        <w:t>Darwen</w:t>
      </w:r>
      <w:proofErr w:type="spellEnd"/>
      <w:r w:rsidRPr="00B600D9">
        <w:rPr>
          <w:rFonts w:ascii="Century Gothic" w:hAnsi="Century Gothic"/>
          <w:sz w:val="22"/>
          <w:szCs w:val="22"/>
        </w:rPr>
        <w:t xml:space="preserve"> </w:t>
      </w:r>
    </w:p>
    <w:p w14:paraId="03BD8DB3" w14:textId="77777777" w:rsidR="00C81204" w:rsidRPr="00B600D9" w:rsidRDefault="00C81204" w:rsidP="00077916">
      <w:pPr>
        <w:pStyle w:val="Default"/>
        <w:jc w:val="both"/>
        <w:rPr>
          <w:rFonts w:ascii="Century Gothic" w:hAnsi="Century Gothic"/>
          <w:sz w:val="22"/>
          <w:szCs w:val="22"/>
        </w:rPr>
      </w:pPr>
      <w:r w:rsidRPr="00B600D9">
        <w:rPr>
          <w:rFonts w:ascii="Century Gothic" w:hAnsi="Century Gothic"/>
          <w:b/>
          <w:bCs/>
          <w:sz w:val="22"/>
          <w:szCs w:val="22"/>
        </w:rPr>
        <w:t>Treasurer</w:t>
      </w:r>
      <w:r w:rsidRPr="00B600D9">
        <w:rPr>
          <w:rFonts w:ascii="Century Gothic" w:hAnsi="Century Gothic"/>
          <w:sz w:val="22"/>
          <w:szCs w:val="22"/>
        </w:rPr>
        <w:t xml:space="preserve">: Earl of </w:t>
      </w:r>
      <w:proofErr w:type="spellStart"/>
      <w:r w:rsidRPr="00B600D9">
        <w:rPr>
          <w:rFonts w:ascii="Century Gothic" w:hAnsi="Century Gothic"/>
          <w:sz w:val="22"/>
          <w:szCs w:val="22"/>
        </w:rPr>
        <w:t>Listowel</w:t>
      </w:r>
      <w:proofErr w:type="spellEnd"/>
      <w:r w:rsidRPr="00B600D9">
        <w:rPr>
          <w:rFonts w:ascii="Century Gothic" w:hAnsi="Century Gothic"/>
          <w:sz w:val="22"/>
          <w:szCs w:val="22"/>
        </w:rPr>
        <w:t xml:space="preserve"> </w:t>
      </w:r>
    </w:p>
    <w:p w14:paraId="6DA12DB6" w14:textId="710909BD" w:rsidR="0018577B" w:rsidRPr="00B600D9" w:rsidRDefault="0018577B" w:rsidP="00077916">
      <w:pPr>
        <w:pStyle w:val="Default"/>
        <w:jc w:val="both"/>
        <w:rPr>
          <w:rFonts w:ascii="Century Gothic" w:hAnsi="Century Gothic"/>
          <w:color w:val="auto"/>
          <w:sz w:val="22"/>
          <w:szCs w:val="22"/>
        </w:rPr>
      </w:pPr>
      <w:r w:rsidRPr="00B600D9">
        <w:rPr>
          <w:rFonts w:ascii="Century Gothic" w:hAnsi="Century Gothic"/>
          <w:b/>
          <w:bCs/>
          <w:sz w:val="22"/>
          <w:szCs w:val="22"/>
        </w:rPr>
        <w:t>Vice-Chair</w:t>
      </w:r>
      <w:r w:rsidR="008415FC" w:rsidRPr="00B600D9">
        <w:rPr>
          <w:rFonts w:ascii="Century Gothic" w:hAnsi="Century Gothic"/>
          <w:b/>
          <w:bCs/>
          <w:sz w:val="22"/>
          <w:szCs w:val="22"/>
        </w:rPr>
        <w:t>s</w:t>
      </w:r>
      <w:r w:rsidRPr="00B600D9">
        <w:rPr>
          <w:rFonts w:ascii="Century Gothic" w:hAnsi="Century Gothic"/>
          <w:sz w:val="22"/>
          <w:szCs w:val="22"/>
        </w:rPr>
        <w:t xml:space="preserve">: </w:t>
      </w:r>
      <w:r w:rsidRPr="00B600D9">
        <w:rPr>
          <w:rFonts w:ascii="Century Gothic" w:hAnsi="Century Gothic"/>
          <w:color w:val="auto"/>
          <w:sz w:val="22"/>
          <w:szCs w:val="22"/>
        </w:rPr>
        <w:t xml:space="preserve">Baroness </w:t>
      </w:r>
      <w:proofErr w:type="spellStart"/>
      <w:r w:rsidRPr="00B600D9">
        <w:rPr>
          <w:rFonts w:ascii="Century Gothic" w:hAnsi="Century Gothic"/>
          <w:color w:val="auto"/>
          <w:sz w:val="22"/>
          <w:szCs w:val="22"/>
        </w:rPr>
        <w:t>Walmsley</w:t>
      </w:r>
      <w:proofErr w:type="spellEnd"/>
      <w:r w:rsidRPr="00B600D9">
        <w:rPr>
          <w:rFonts w:ascii="Century Gothic" w:hAnsi="Century Gothic"/>
          <w:color w:val="auto"/>
          <w:sz w:val="22"/>
          <w:szCs w:val="22"/>
        </w:rPr>
        <w:t xml:space="preserve">, </w:t>
      </w:r>
      <w:r w:rsidR="008C51FA" w:rsidRPr="00B600D9">
        <w:rPr>
          <w:rFonts w:ascii="Century Gothic" w:hAnsi="Century Gothic"/>
          <w:color w:val="auto"/>
          <w:sz w:val="22"/>
          <w:szCs w:val="22"/>
        </w:rPr>
        <w:t>Alex Burghart MP, Sarah Champion MP</w:t>
      </w:r>
    </w:p>
    <w:p w14:paraId="2E2E160F" w14:textId="386C0691" w:rsidR="00500937" w:rsidRPr="00B600D9" w:rsidRDefault="0018577B" w:rsidP="00077916">
      <w:pPr>
        <w:jc w:val="both"/>
        <w:rPr>
          <w:rFonts w:ascii="Century Gothic" w:hAnsi="Century Gothic"/>
        </w:rPr>
      </w:pPr>
      <w:r w:rsidRPr="00B600D9">
        <w:rPr>
          <w:rFonts w:ascii="Century Gothic" w:hAnsi="Century Gothic"/>
          <w:b/>
          <w:bCs/>
        </w:rPr>
        <w:t>Clerk</w:t>
      </w:r>
      <w:r w:rsidRPr="00B600D9">
        <w:rPr>
          <w:rFonts w:ascii="Century Gothic" w:hAnsi="Century Gothic"/>
        </w:rPr>
        <w:t xml:space="preserve">: </w:t>
      </w:r>
      <w:r w:rsidR="00C81204" w:rsidRPr="00B600D9">
        <w:rPr>
          <w:rFonts w:ascii="Century Gothic" w:hAnsi="Century Gothic"/>
        </w:rPr>
        <w:t>Robyn Ellison</w:t>
      </w:r>
    </w:p>
    <w:p w14:paraId="3F332442" w14:textId="77777777" w:rsidR="0018577B" w:rsidRPr="00B600D9" w:rsidRDefault="0018577B" w:rsidP="00077916">
      <w:pPr>
        <w:pStyle w:val="Default"/>
        <w:jc w:val="both"/>
        <w:rPr>
          <w:rFonts w:ascii="Century Gothic" w:hAnsi="Century Gothic"/>
          <w:sz w:val="22"/>
          <w:szCs w:val="22"/>
        </w:rPr>
      </w:pPr>
    </w:p>
    <w:p w14:paraId="5B59CAD8" w14:textId="084ACFF5" w:rsidR="00867968" w:rsidRPr="00B600D9" w:rsidRDefault="0018577B" w:rsidP="00077916">
      <w:pPr>
        <w:jc w:val="both"/>
        <w:rPr>
          <w:rFonts w:ascii="Century Gothic" w:hAnsi="Century Gothic"/>
          <w:u w:val="single"/>
        </w:rPr>
      </w:pPr>
      <w:r w:rsidRPr="00B600D9">
        <w:rPr>
          <w:rFonts w:ascii="Century Gothic" w:hAnsi="Century Gothic"/>
        </w:rPr>
        <w:t xml:space="preserve"> </w:t>
      </w:r>
      <w:r w:rsidR="003A554C" w:rsidRPr="00B600D9">
        <w:rPr>
          <w:rFonts w:ascii="Century Gothic" w:hAnsi="Century Gothic"/>
          <w:u w:val="single"/>
        </w:rPr>
        <w:t>Welcome and introductions</w:t>
      </w:r>
    </w:p>
    <w:p w14:paraId="53C9DDD4" w14:textId="28F2BC0C" w:rsidR="008415FC" w:rsidRPr="00B600D9" w:rsidRDefault="008415FC" w:rsidP="00077916">
      <w:pPr>
        <w:jc w:val="both"/>
        <w:rPr>
          <w:rFonts w:ascii="Century Gothic" w:hAnsi="Century Gothic"/>
        </w:rPr>
      </w:pPr>
      <w:r w:rsidRPr="00B600D9">
        <w:rPr>
          <w:rFonts w:ascii="Century Gothic" w:hAnsi="Century Gothic"/>
        </w:rPr>
        <w:t>As C</w:t>
      </w:r>
      <w:r w:rsidR="009F60BB" w:rsidRPr="00B600D9">
        <w:rPr>
          <w:rFonts w:ascii="Century Gothic" w:hAnsi="Century Gothic"/>
        </w:rPr>
        <w:t xml:space="preserve">hair of the All Party Parliamentary Group on Children (APPGC), </w:t>
      </w:r>
      <w:r w:rsidR="009F60BB" w:rsidRPr="00B600D9">
        <w:rPr>
          <w:rFonts w:ascii="Century Gothic" w:hAnsi="Century Gothic"/>
          <w:b/>
        </w:rPr>
        <w:t>Tim Loughton MP</w:t>
      </w:r>
      <w:r w:rsidR="009F60BB" w:rsidRPr="00B600D9">
        <w:rPr>
          <w:rFonts w:ascii="Century Gothic" w:hAnsi="Century Gothic"/>
        </w:rPr>
        <w:t xml:space="preserve"> welcome</w:t>
      </w:r>
      <w:r w:rsidR="00C90B29">
        <w:rPr>
          <w:rFonts w:ascii="Century Gothic" w:hAnsi="Century Gothic"/>
        </w:rPr>
        <w:t>s</w:t>
      </w:r>
      <w:r w:rsidR="009F60BB" w:rsidRPr="00B600D9">
        <w:rPr>
          <w:rFonts w:ascii="Century Gothic" w:hAnsi="Century Gothic"/>
        </w:rPr>
        <w:t xml:space="preserve"> everyone to this first evidence session, particularly the young people who will be speaking. </w:t>
      </w:r>
      <w:r w:rsidR="00BD363C" w:rsidRPr="00B600D9">
        <w:rPr>
          <w:rFonts w:ascii="Century Gothic" w:hAnsi="Century Gothic"/>
        </w:rPr>
        <w:t>He provided some background to today’s session:</w:t>
      </w:r>
      <w:r w:rsidR="009F60BB" w:rsidRPr="00B600D9">
        <w:rPr>
          <w:rFonts w:ascii="Century Gothic" w:hAnsi="Century Gothic"/>
        </w:rPr>
        <w:t xml:space="preserve"> l</w:t>
      </w:r>
      <w:r w:rsidR="003A554C" w:rsidRPr="00B600D9">
        <w:rPr>
          <w:rFonts w:ascii="Century Gothic" w:hAnsi="Century Gothic"/>
        </w:rPr>
        <w:t>ast year</w:t>
      </w:r>
      <w:r w:rsidR="009F60BB" w:rsidRPr="00B600D9">
        <w:rPr>
          <w:rFonts w:ascii="Century Gothic" w:hAnsi="Century Gothic"/>
        </w:rPr>
        <w:t xml:space="preserve"> the</w:t>
      </w:r>
      <w:r w:rsidR="003A554C" w:rsidRPr="00B600D9">
        <w:rPr>
          <w:rFonts w:ascii="Century Gothic" w:hAnsi="Century Gothic"/>
        </w:rPr>
        <w:t xml:space="preserve"> APPG</w:t>
      </w:r>
      <w:r w:rsidR="009F60BB" w:rsidRPr="00B600D9">
        <w:rPr>
          <w:rFonts w:ascii="Century Gothic" w:hAnsi="Century Gothic"/>
        </w:rPr>
        <w:t>C published</w:t>
      </w:r>
      <w:r w:rsidR="003A554C" w:rsidRPr="00B600D9">
        <w:rPr>
          <w:rFonts w:ascii="Century Gothic" w:hAnsi="Century Gothic"/>
        </w:rPr>
        <w:t xml:space="preserve"> </w:t>
      </w:r>
      <w:hyperlink r:id="rId7" w:history="1">
        <w:r w:rsidR="003A554C" w:rsidRPr="00B600D9">
          <w:rPr>
            <w:rStyle w:val="Hyperlink"/>
            <w:rFonts w:ascii="Century Gothic" w:hAnsi="Century Gothic"/>
            <w:i/>
          </w:rPr>
          <w:t>No Good Options</w:t>
        </w:r>
      </w:hyperlink>
      <w:r w:rsidR="003A554C" w:rsidRPr="00B600D9">
        <w:rPr>
          <w:rFonts w:ascii="Century Gothic" w:hAnsi="Century Gothic"/>
        </w:rPr>
        <w:t>,</w:t>
      </w:r>
      <w:r w:rsidR="009F60BB" w:rsidRPr="00B600D9">
        <w:rPr>
          <w:rFonts w:ascii="Century Gothic" w:hAnsi="Century Gothic"/>
        </w:rPr>
        <w:t xml:space="preserve"> a</w:t>
      </w:r>
      <w:r w:rsidR="003A554C" w:rsidRPr="00B600D9">
        <w:rPr>
          <w:rFonts w:ascii="Century Gothic" w:hAnsi="Century Gothic"/>
        </w:rPr>
        <w:t xml:space="preserve"> comprehensive review of children’s social care.</w:t>
      </w:r>
      <w:r w:rsidR="00EB27FA">
        <w:rPr>
          <w:rFonts w:ascii="Century Gothic" w:hAnsi="Century Gothic"/>
        </w:rPr>
        <w:t xml:space="preserve"> </w:t>
      </w:r>
      <w:r w:rsidR="007C6988" w:rsidRPr="007C6988">
        <w:rPr>
          <w:rFonts w:ascii="Century Gothic" w:hAnsi="Century Gothic"/>
          <w:i/>
        </w:rPr>
        <w:t>No Good Options</w:t>
      </w:r>
      <w:r w:rsidRPr="00B600D9">
        <w:rPr>
          <w:rFonts w:ascii="Century Gothic" w:hAnsi="Century Gothic"/>
        </w:rPr>
        <w:t xml:space="preserve"> found significant variation in the application of law and policy across local authorities and presented evidence which suggests that local policy decisions are leading directly to stark contrasts in children’s outcomes, including the likelihood that they are taken into care.   </w:t>
      </w:r>
    </w:p>
    <w:p w14:paraId="55F0F74B" w14:textId="5A4E2CCA" w:rsidR="009F60BB" w:rsidRPr="00B600D9" w:rsidRDefault="008415FC" w:rsidP="00077916">
      <w:pPr>
        <w:jc w:val="both"/>
        <w:rPr>
          <w:rFonts w:ascii="Century Gothic" w:hAnsi="Century Gothic"/>
        </w:rPr>
      </w:pPr>
      <w:r w:rsidRPr="00B600D9">
        <w:rPr>
          <w:rFonts w:ascii="Century Gothic" w:hAnsi="Century Gothic"/>
        </w:rPr>
        <w:t xml:space="preserve">Our new Inquiry aims to dig further </w:t>
      </w:r>
      <w:r w:rsidR="007C6988">
        <w:rPr>
          <w:rFonts w:ascii="Century Gothic" w:hAnsi="Century Gothic"/>
        </w:rPr>
        <w:t xml:space="preserve">into some of the findings from </w:t>
      </w:r>
      <w:r w:rsidR="007C6988" w:rsidRPr="007C6988">
        <w:rPr>
          <w:rFonts w:ascii="Century Gothic" w:hAnsi="Century Gothic"/>
          <w:i/>
        </w:rPr>
        <w:t>No Good Options</w:t>
      </w:r>
      <w:r w:rsidRPr="00B600D9">
        <w:rPr>
          <w:rFonts w:ascii="Century Gothic" w:hAnsi="Century Gothic"/>
        </w:rPr>
        <w:t xml:space="preserve"> and </w:t>
      </w:r>
      <w:r w:rsidR="00CA1D3A" w:rsidRPr="00B600D9">
        <w:rPr>
          <w:rFonts w:ascii="Century Gothic" w:hAnsi="Century Gothic"/>
        </w:rPr>
        <w:t>identify the causes of variation in access to children’s services including the role that thresholds play in this. Today’s meeting is the first evidence session as part of</w:t>
      </w:r>
      <w:r w:rsidR="00295AC2" w:rsidRPr="00B600D9">
        <w:rPr>
          <w:rFonts w:ascii="Century Gothic" w:hAnsi="Century Gothic"/>
        </w:rPr>
        <w:t xml:space="preserve"> the new Inquiry and the format </w:t>
      </w:r>
      <w:r w:rsidR="00EB27FA">
        <w:rPr>
          <w:rFonts w:ascii="Century Gothic" w:hAnsi="Century Gothic"/>
        </w:rPr>
        <w:t xml:space="preserve">today will include two sessions. </w:t>
      </w:r>
      <w:r w:rsidR="00295AC2" w:rsidRPr="00B600D9">
        <w:rPr>
          <w:rFonts w:ascii="Century Gothic" w:hAnsi="Century Gothic"/>
        </w:rPr>
        <w:t>Duri</w:t>
      </w:r>
      <w:r w:rsidR="009F60BB" w:rsidRPr="00B600D9">
        <w:rPr>
          <w:rFonts w:ascii="Century Gothic" w:hAnsi="Century Gothic"/>
        </w:rPr>
        <w:t>ng the first session we will hear from three young people from Catch22’s Young People’s Benchmarking Forum (YPBMF) who will be asked questions by Tutu, one of the National Children’s Bureau’s Young Research Advis</w:t>
      </w:r>
      <w:r w:rsidR="00503844" w:rsidRPr="00B600D9">
        <w:rPr>
          <w:rFonts w:ascii="Century Gothic" w:hAnsi="Century Gothic"/>
        </w:rPr>
        <w:t>o</w:t>
      </w:r>
      <w:r w:rsidR="009F60BB" w:rsidRPr="00B600D9">
        <w:rPr>
          <w:rFonts w:ascii="Century Gothic" w:hAnsi="Century Gothic"/>
        </w:rPr>
        <w:t xml:space="preserve">rs. During the second half we will be hearing from practitioners – social workers and school designated safeguarding leads. </w:t>
      </w:r>
    </w:p>
    <w:p w14:paraId="2EAAD478" w14:textId="77777777" w:rsidR="009F60BB" w:rsidRPr="00B600D9" w:rsidRDefault="00503844" w:rsidP="00077916">
      <w:pPr>
        <w:jc w:val="both"/>
        <w:rPr>
          <w:rFonts w:ascii="Century Gothic" w:hAnsi="Century Gothic"/>
          <w:u w:val="single"/>
        </w:rPr>
      </w:pPr>
      <w:r w:rsidRPr="00B600D9">
        <w:rPr>
          <w:rFonts w:ascii="Century Gothic" w:hAnsi="Century Gothic"/>
          <w:b/>
          <w:u w:val="single"/>
        </w:rPr>
        <w:t xml:space="preserve">Panel 1: </w:t>
      </w:r>
      <w:r w:rsidRPr="00B600D9">
        <w:rPr>
          <w:rFonts w:ascii="Century Gothic" w:hAnsi="Century Gothic"/>
          <w:u w:val="single"/>
        </w:rPr>
        <w:t>Young People from the Young People’s Benchmarking Forum, Catch 22</w:t>
      </w:r>
    </w:p>
    <w:p w14:paraId="756881F4" w14:textId="3282DB8C" w:rsidR="00503844" w:rsidRPr="00B600D9" w:rsidRDefault="00503844" w:rsidP="00077916">
      <w:pPr>
        <w:jc w:val="both"/>
        <w:rPr>
          <w:rFonts w:ascii="Century Gothic" w:hAnsi="Century Gothic"/>
        </w:rPr>
      </w:pPr>
      <w:r w:rsidRPr="00B600D9">
        <w:rPr>
          <w:rFonts w:ascii="Century Gothic" w:hAnsi="Century Gothic"/>
          <w:b/>
        </w:rPr>
        <w:t xml:space="preserve">Tutu </w:t>
      </w:r>
      <w:r w:rsidRPr="00B600D9">
        <w:rPr>
          <w:rFonts w:ascii="Century Gothic" w:hAnsi="Century Gothic"/>
        </w:rPr>
        <w:t xml:space="preserve">gave some background on the National Children’s Bureau (NCB)’s Young Research Advisors (YRAs). The YRAs are </w:t>
      </w:r>
      <w:r w:rsidR="00EB27FA">
        <w:rPr>
          <w:rFonts w:ascii="Century Gothic" w:hAnsi="Century Gothic"/>
        </w:rPr>
        <w:t xml:space="preserve">children and </w:t>
      </w:r>
      <w:r w:rsidRPr="00B600D9">
        <w:rPr>
          <w:rFonts w:ascii="Century Gothic" w:hAnsi="Century Gothic"/>
        </w:rPr>
        <w:t xml:space="preserve">young people </w:t>
      </w:r>
      <w:r w:rsidR="00EB27FA">
        <w:rPr>
          <w:rFonts w:ascii="Century Gothic" w:hAnsi="Century Gothic"/>
        </w:rPr>
        <w:t xml:space="preserve">(CYP) </w:t>
      </w:r>
      <w:r w:rsidRPr="00B600D9">
        <w:rPr>
          <w:rFonts w:ascii="Century Gothic" w:hAnsi="Century Gothic"/>
        </w:rPr>
        <w:t xml:space="preserve">from across England, including those with a range of physical and mental health needs, who </w:t>
      </w:r>
      <w:proofErr w:type="gramStart"/>
      <w:r w:rsidRPr="00B600D9">
        <w:rPr>
          <w:rFonts w:ascii="Century Gothic" w:hAnsi="Century Gothic"/>
        </w:rPr>
        <w:t xml:space="preserve">have </w:t>
      </w:r>
      <w:r w:rsidRPr="00B600D9">
        <w:rPr>
          <w:rFonts w:ascii="Century Gothic" w:hAnsi="Century Gothic"/>
        </w:rPr>
        <w:lastRenderedPageBreak/>
        <w:t>been trained</w:t>
      </w:r>
      <w:proofErr w:type="gramEnd"/>
      <w:r w:rsidRPr="00B600D9">
        <w:rPr>
          <w:rFonts w:ascii="Century Gothic" w:hAnsi="Century Gothic"/>
        </w:rPr>
        <w:t xml:space="preserve"> in research and policy skills. The decision for a young person to be invited to ask questions at today’s meeting is the result of a suggestion from the YRAs about how to make young people feel at ease</w:t>
      </w:r>
      <w:r w:rsidR="00FE66E0">
        <w:rPr>
          <w:rFonts w:ascii="Century Gothic" w:hAnsi="Century Gothic"/>
        </w:rPr>
        <w:t xml:space="preserve"> when</w:t>
      </w:r>
      <w:r w:rsidRPr="00B600D9">
        <w:rPr>
          <w:rFonts w:ascii="Century Gothic" w:hAnsi="Century Gothic"/>
        </w:rPr>
        <w:t xml:space="preserve"> giving evidence in a format like this. </w:t>
      </w:r>
    </w:p>
    <w:p w14:paraId="18EBBF10" w14:textId="53F97713" w:rsidR="00295AC2" w:rsidRPr="00B600D9" w:rsidRDefault="00503844" w:rsidP="00077916">
      <w:pPr>
        <w:jc w:val="both"/>
        <w:rPr>
          <w:rFonts w:ascii="Century Gothic" w:hAnsi="Century Gothic"/>
        </w:rPr>
      </w:pPr>
      <w:r w:rsidRPr="00B600D9">
        <w:rPr>
          <w:rFonts w:ascii="Century Gothic" w:hAnsi="Century Gothic"/>
        </w:rPr>
        <w:t xml:space="preserve">The three young people from the YPBMF – </w:t>
      </w:r>
      <w:r w:rsidRPr="00B600D9">
        <w:rPr>
          <w:rFonts w:ascii="Century Gothic" w:hAnsi="Century Gothic"/>
          <w:b/>
        </w:rPr>
        <w:t>Billie-Jo, Duncan and Faye</w:t>
      </w:r>
      <w:r w:rsidR="00EB27FA">
        <w:rPr>
          <w:rFonts w:ascii="Century Gothic" w:hAnsi="Century Gothic"/>
        </w:rPr>
        <w:t xml:space="preserve"> - </w:t>
      </w:r>
      <w:r w:rsidRPr="00B600D9">
        <w:rPr>
          <w:rFonts w:ascii="Century Gothic" w:hAnsi="Century Gothic"/>
        </w:rPr>
        <w:t xml:space="preserve">introduced themselves. </w:t>
      </w:r>
      <w:r w:rsidRPr="00B600D9">
        <w:rPr>
          <w:rFonts w:ascii="Century Gothic" w:hAnsi="Century Gothic"/>
          <w:b/>
        </w:rPr>
        <w:t xml:space="preserve">Nat O’Brien, Project Coordinator for the YPBMF </w:t>
      </w:r>
      <w:r w:rsidRPr="00B600D9">
        <w:rPr>
          <w:rFonts w:ascii="Century Gothic" w:hAnsi="Century Gothic"/>
        </w:rPr>
        <w:t>was in attendance in a supportive capacity to the young people. Bil</w:t>
      </w:r>
      <w:r w:rsidR="00295AC2" w:rsidRPr="00B600D9">
        <w:rPr>
          <w:rFonts w:ascii="Century Gothic" w:hAnsi="Century Gothic"/>
        </w:rPr>
        <w:t>lie-Jo, Duncan and Faye are also support workers to young people in their communities.</w:t>
      </w:r>
    </w:p>
    <w:p w14:paraId="47ED53F9" w14:textId="557A98DE" w:rsidR="00B9416C" w:rsidRPr="00B600D9" w:rsidRDefault="00503844" w:rsidP="00077916">
      <w:pPr>
        <w:pStyle w:val="NormalWeb"/>
        <w:shd w:val="clear" w:color="auto" w:fill="FFFFFF"/>
        <w:spacing w:before="0" w:beforeAutospacing="0" w:after="270" w:afterAutospacing="0"/>
        <w:jc w:val="both"/>
        <w:rPr>
          <w:rFonts w:ascii="Century Gothic" w:hAnsi="Century Gothic"/>
          <w:sz w:val="22"/>
          <w:szCs w:val="22"/>
        </w:rPr>
      </w:pPr>
      <w:r w:rsidRPr="00B600D9">
        <w:rPr>
          <w:rFonts w:ascii="Century Gothic" w:hAnsi="Century Gothic"/>
          <w:sz w:val="22"/>
          <w:szCs w:val="22"/>
        </w:rPr>
        <w:t xml:space="preserve">They outlined the role of the YPBMF, </w:t>
      </w:r>
      <w:r w:rsidR="00295AC2" w:rsidRPr="00B600D9">
        <w:rPr>
          <w:rFonts w:ascii="Century Gothic" w:hAnsi="Century Gothic"/>
          <w:sz w:val="22"/>
          <w:szCs w:val="22"/>
        </w:rPr>
        <w:t xml:space="preserve">which </w:t>
      </w:r>
      <w:r w:rsidRPr="00B600D9">
        <w:rPr>
          <w:rFonts w:ascii="Century Gothic" w:hAnsi="Century Gothic" w:cs="Helvetica"/>
          <w:color w:val="1C2E32"/>
          <w:sz w:val="22"/>
          <w:szCs w:val="22"/>
        </w:rPr>
        <w:t>was formed in 2008 and involves young people</w:t>
      </w:r>
      <w:r w:rsidR="00295AC2" w:rsidRPr="00B600D9">
        <w:rPr>
          <w:rFonts w:ascii="Century Gothic" w:hAnsi="Century Gothic" w:cs="Helvetica"/>
          <w:color w:val="1C2E32"/>
          <w:sz w:val="22"/>
          <w:szCs w:val="22"/>
        </w:rPr>
        <w:t xml:space="preserve"> aged 16</w:t>
      </w:r>
      <w:r w:rsidRPr="00B600D9">
        <w:rPr>
          <w:rFonts w:ascii="Century Gothic" w:hAnsi="Century Gothic" w:cs="Helvetica"/>
          <w:color w:val="1C2E32"/>
          <w:sz w:val="22"/>
          <w:szCs w:val="22"/>
        </w:rPr>
        <w:t xml:space="preserve"> and above from local authorities that are members of the National Leaving Care Benchmarking Forum (NLFBMF).</w:t>
      </w:r>
      <w:r w:rsidR="00295AC2" w:rsidRPr="00B600D9">
        <w:rPr>
          <w:rFonts w:ascii="Century Gothic" w:hAnsi="Century Gothic" w:cs="Helvetica"/>
          <w:color w:val="1C2E32"/>
          <w:sz w:val="22"/>
          <w:szCs w:val="22"/>
        </w:rPr>
        <w:t xml:space="preserve"> </w:t>
      </w:r>
      <w:r w:rsidRPr="00B600D9">
        <w:rPr>
          <w:rFonts w:ascii="Century Gothic" w:hAnsi="Century Gothic" w:cs="Helvetica"/>
          <w:color w:val="1C2E32"/>
          <w:sz w:val="22"/>
          <w:szCs w:val="22"/>
        </w:rPr>
        <w:t>Members include young people who are employed by their local authority, undertaking a traineeship or actively involved with participation work and service delivery within their local authority.</w:t>
      </w:r>
      <w:r w:rsidR="00295AC2" w:rsidRPr="00B600D9">
        <w:rPr>
          <w:rFonts w:ascii="Century Gothic" w:hAnsi="Century Gothic" w:cs="Helvetica"/>
          <w:color w:val="1C2E32"/>
          <w:sz w:val="22"/>
          <w:szCs w:val="22"/>
        </w:rPr>
        <w:t xml:space="preserve"> </w:t>
      </w:r>
      <w:r w:rsidRPr="00B600D9">
        <w:rPr>
          <w:rFonts w:ascii="Century Gothic" w:hAnsi="Century Gothic" w:cs="Helvetica"/>
          <w:color w:val="1C2E32"/>
          <w:sz w:val="22"/>
          <w:szCs w:val="22"/>
        </w:rPr>
        <w:t>The YPBMF works alongside the NLCBF to complete an annual work plan with the aims of improving understanding of children in care, improving services and producing advice, information resources and participation opportunities for other young people. The group prioritises issues they feel are important and campaigns to raise awareness of them and to try and achieve better outcomes for young people making the transition from care to adulthood. The YPBMF reports regularly to the NLCBF steering group</w:t>
      </w:r>
      <w:r w:rsidR="00295AC2" w:rsidRPr="00B600D9">
        <w:rPr>
          <w:rFonts w:ascii="Century Gothic" w:hAnsi="Century Gothic" w:cs="Helvetica"/>
          <w:color w:val="1C2E32"/>
          <w:sz w:val="22"/>
          <w:szCs w:val="22"/>
        </w:rPr>
        <w:t xml:space="preserve">. </w:t>
      </w:r>
      <w:r w:rsidR="00B9416C" w:rsidRPr="00B600D9">
        <w:rPr>
          <w:rFonts w:ascii="Century Gothic" w:hAnsi="Century Gothic"/>
          <w:sz w:val="22"/>
          <w:szCs w:val="22"/>
        </w:rPr>
        <w:t>In preparation for this APPGC session, the YPBMF held t</w:t>
      </w:r>
      <w:r w:rsidR="00295AC2" w:rsidRPr="00B600D9">
        <w:rPr>
          <w:rFonts w:ascii="Century Gothic" w:hAnsi="Century Gothic"/>
          <w:sz w:val="22"/>
          <w:szCs w:val="22"/>
        </w:rPr>
        <w:t>wo consultation meetings with young people (YP)</w:t>
      </w:r>
      <w:r w:rsidR="00B9416C" w:rsidRPr="00B600D9">
        <w:rPr>
          <w:rFonts w:ascii="Century Gothic" w:hAnsi="Century Gothic"/>
          <w:sz w:val="22"/>
          <w:szCs w:val="22"/>
        </w:rPr>
        <w:t xml:space="preserve"> and practitioners where they sought inputs on the topics under discussion today. </w:t>
      </w:r>
    </w:p>
    <w:p w14:paraId="1392F1F4" w14:textId="720211B6" w:rsidR="00561007" w:rsidRPr="00B600D9" w:rsidRDefault="00295AC2" w:rsidP="00077916">
      <w:pPr>
        <w:jc w:val="both"/>
        <w:rPr>
          <w:rFonts w:ascii="Century Gothic" w:hAnsi="Century Gothic"/>
          <w:u w:val="single"/>
        </w:rPr>
      </w:pPr>
      <w:r w:rsidRPr="00B600D9">
        <w:rPr>
          <w:rFonts w:ascii="Century Gothic" w:hAnsi="Century Gothic"/>
          <w:b/>
        </w:rPr>
        <w:t xml:space="preserve">Tutu </w:t>
      </w:r>
      <w:r w:rsidRPr="00B600D9">
        <w:rPr>
          <w:rFonts w:ascii="Century Gothic" w:hAnsi="Century Gothic"/>
        </w:rPr>
        <w:t>began by asking about the t</w:t>
      </w:r>
      <w:r w:rsidR="00561007" w:rsidRPr="00B600D9">
        <w:rPr>
          <w:rFonts w:ascii="Century Gothic" w:hAnsi="Century Gothic"/>
        </w:rPr>
        <w:t>ype and level of support provided to young people by social services. Whilst one young person praised the level of support and the fact that it is provided on an individual basis, another felt that social services are better at supporting young people with positive aspirations (</w:t>
      </w:r>
      <w:proofErr w:type="spellStart"/>
      <w:r w:rsidR="00561007" w:rsidRPr="00B600D9">
        <w:rPr>
          <w:rFonts w:ascii="Century Gothic" w:hAnsi="Century Gothic"/>
        </w:rPr>
        <w:t>eg</w:t>
      </w:r>
      <w:proofErr w:type="spellEnd"/>
      <w:r w:rsidR="00561007" w:rsidRPr="00B600D9">
        <w:rPr>
          <w:rFonts w:ascii="Century Gothic" w:hAnsi="Century Gothic"/>
        </w:rPr>
        <w:t xml:space="preserve"> to study at university) and are less good at providing support to a young person who is struggling. Example</w:t>
      </w:r>
      <w:r w:rsidRPr="00B600D9">
        <w:rPr>
          <w:rFonts w:ascii="Century Gothic" w:hAnsi="Century Gothic"/>
        </w:rPr>
        <w:t>s</w:t>
      </w:r>
      <w:r w:rsidR="00561007" w:rsidRPr="00B600D9">
        <w:rPr>
          <w:rFonts w:ascii="Century Gothic" w:hAnsi="Century Gothic"/>
        </w:rPr>
        <w:t xml:space="preserve"> of </w:t>
      </w:r>
      <w:r w:rsidRPr="00B600D9">
        <w:rPr>
          <w:rFonts w:ascii="Century Gothic" w:hAnsi="Century Gothic"/>
        </w:rPr>
        <w:t xml:space="preserve">the </w:t>
      </w:r>
      <w:r w:rsidR="00561007" w:rsidRPr="00B600D9">
        <w:rPr>
          <w:rFonts w:ascii="Century Gothic" w:hAnsi="Century Gothic"/>
        </w:rPr>
        <w:t xml:space="preserve">type of support included things like paying rent for young people who go to university, and making improvements such as ending the practice of putting young people in </w:t>
      </w:r>
      <w:proofErr w:type="gramStart"/>
      <w:r w:rsidR="00561007" w:rsidRPr="00B600D9">
        <w:rPr>
          <w:rFonts w:ascii="Century Gothic" w:hAnsi="Century Gothic"/>
        </w:rPr>
        <w:t>B&amp;Bs</w:t>
      </w:r>
      <w:proofErr w:type="gramEnd"/>
      <w:r w:rsidR="00561007" w:rsidRPr="00B600D9">
        <w:rPr>
          <w:rFonts w:ascii="Century Gothic" w:hAnsi="Century Gothic"/>
        </w:rPr>
        <w:t xml:space="preserve"> as temporary accommodation. Other kinds of support which YP felt would be useful </w:t>
      </w:r>
      <w:r w:rsidR="00F17FE3" w:rsidRPr="00B600D9">
        <w:rPr>
          <w:rFonts w:ascii="Century Gothic" w:hAnsi="Century Gothic"/>
        </w:rPr>
        <w:t>are support with apprenticeships, work schemes and courses.</w:t>
      </w:r>
    </w:p>
    <w:p w14:paraId="7EAE0F51" w14:textId="0446FBB9" w:rsidR="00F17FE3" w:rsidRPr="00B600D9" w:rsidRDefault="00F17FE3" w:rsidP="00077916">
      <w:pPr>
        <w:jc w:val="both"/>
        <w:rPr>
          <w:rFonts w:ascii="Century Gothic" w:hAnsi="Century Gothic"/>
          <w:u w:val="single"/>
        </w:rPr>
      </w:pPr>
      <w:r w:rsidRPr="00B600D9">
        <w:rPr>
          <w:rFonts w:ascii="Century Gothic" w:hAnsi="Century Gothic"/>
        </w:rPr>
        <w:t xml:space="preserve">Communication about key decisions affecting YPs’ lives was often inadequate. One YP explained that his younger siblings have been adopted and he is not allowed to make contact with them until they turn 18, but no-one has ever explained to him why this is the case. Similarly, the reason for the decision to take a child into care may have been explained to the child at a young age, or may not have been explained at all. Children may also misremember, for example thinking they were removed from their family by the police rather than social services. It is important to give children and young people the option </w:t>
      </w:r>
      <w:r w:rsidR="007D0635" w:rsidRPr="00B600D9">
        <w:rPr>
          <w:rFonts w:ascii="Century Gothic" w:hAnsi="Century Gothic"/>
        </w:rPr>
        <w:t xml:space="preserve">of a ‘refresher’ </w:t>
      </w:r>
      <w:r w:rsidRPr="00B600D9">
        <w:rPr>
          <w:rFonts w:ascii="Century Gothic" w:hAnsi="Century Gothic"/>
        </w:rPr>
        <w:t>discuss</w:t>
      </w:r>
      <w:r w:rsidR="007D0635" w:rsidRPr="00B600D9">
        <w:rPr>
          <w:rFonts w:ascii="Century Gothic" w:hAnsi="Century Gothic"/>
        </w:rPr>
        <w:t>ion</w:t>
      </w:r>
      <w:r w:rsidRPr="00B600D9">
        <w:rPr>
          <w:rFonts w:ascii="Century Gothic" w:hAnsi="Century Gothic"/>
        </w:rPr>
        <w:t xml:space="preserve"> when they are old enough to understand fully about what h</w:t>
      </w:r>
      <w:r w:rsidR="007D0635" w:rsidRPr="00B600D9">
        <w:rPr>
          <w:rFonts w:ascii="Century Gothic" w:hAnsi="Century Gothic"/>
        </w:rPr>
        <w:t xml:space="preserve">appened when they were younger. </w:t>
      </w:r>
    </w:p>
    <w:p w14:paraId="5B9C7B2B" w14:textId="580DA3FE" w:rsidR="007D0635" w:rsidRPr="00B600D9" w:rsidRDefault="007D0635" w:rsidP="00077916">
      <w:pPr>
        <w:jc w:val="both"/>
        <w:rPr>
          <w:rFonts w:ascii="Century Gothic" w:hAnsi="Century Gothic"/>
          <w:u w:val="single"/>
        </w:rPr>
      </w:pPr>
      <w:r w:rsidRPr="00B600D9">
        <w:rPr>
          <w:rFonts w:ascii="Century Gothic" w:hAnsi="Century Gothic"/>
        </w:rPr>
        <w:t xml:space="preserve">If young people don’t receive the support they need the risks are that they won’t achieve and they </w:t>
      </w:r>
      <w:r w:rsidR="00D26FEF" w:rsidRPr="00B600D9">
        <w:rPr>
          <w:rFonts w:ascii="Century Gothic" w:hAnsi="Century Gothic"/>
        </w:rPr>
        <w:t xml:space="preserve">may get into dangerous situations and risk drug or alcohol abuse. The personal advisor or social worker may be the only person providing support to that YP. </w:t>
      </w:r>
    </w:p>
    <w:p w14:paraId="64DF3166" w14:textId="210FC8D1" w:rsidR="00503632" w:rsidRPr="00B600D9" w:rsidRDefault="00D26FEF" w:rsidP="00077916">
      <w:pPr>
        <w:jc w:val="both"/>
        <w:rPr>
          <w:rFonts w:ascii="Century Gothic" w:hAnsi="Century Gothic"/>
        </w:rPr>
      </w:pPr>
      <w:r w:rsidRPr="00B600D9">
        <w:rPr>
          <w:rFonts w:ascii="Century Gothic" w:hAnsi="Century Gothic"/>
        </w:rPr>
        <w:t xml:space="preserve">The members of the YPBMF had some knowledge of how local authorities make decisions, explaining that this is on a case by case basis and that sometimes people </w:t>
      </w:r>
      <w:r w:rsidRPr="00B600D9">
        <w:rPr>
          <w:rFonts w:ascii="Century Gothic" w:hAnsi="Century Gothic"/>
        </w:rPr>
        <w:lastRenderedPageBreak/>
        <w:t xml:space="preserve">do slip under the radar. Decisions are on a needs basis in terms of financial support. It would be better if additional support was offered rather than needing to be requested as YP may not know their entitlements.  </w:t>
      </w:r>
    </w:p>
    <w:p w14:paraId="7597B2F1" w14:textId="0A5D2D0B" w:rsidR="00D26FEF" w:rsidRPr="00B600D9" w:rsidRDefault="00D26FEF" w:rsidP="00077916">
      <w:pPr>
        <w:jc w:val="both"/>
        <w:rPr>
          <w:rFonts w:ascii="Century Gothic" w:hAnsi="Century Gothic"/>
        </w:rPr>
      </w:pPr>
      <w:r w:rsidRPr="00B600D9">
        <w:rPr>
          <w:rFonts w:ascii="Century Gothic" w:hAnsi="Century Gothic"/>
        </w:rPr>
        <w:t>Differences in levels of support provided to YPs in different areas of the country were discussed. In many cases these are due to the variation in the cost of living in different parts of the country however support workers sometimes find it difficult to explain and justify these decisions to YP.</w:t>
      </w:r>
    </w:p>
    <w:p w14:paraId="3395B013" w14:textId="715E12E9" w:rsidR="00D26FEF" w:rsidRPr="00B600D9" w:rsidRDefault="00D26FEF" w:rsidP="00077916">
      <w:pPr>
        <w:jc w:val="both"/>
        <w:rPr>
          <w:rFonts w:ascii="Century Gothic" w:hAnsi="Century Gothic"/>
        </w:rPr>
      </w:pPr>
      <w:r w:rsidRPr="00B600D9">
        <w:rPr>
          <w:rFonts w:ascii="Century Gothic" w:hAnsi="Century Gothic"/>
        </w:rPr>
        <w:t xml:space="preserve">The YP were asked whether they felt involved in decisions about the level of support they received. </w:t>
      </w:r>
      <w:r w:rsidR="001D724D" w:rsidRPr="00B600D9">
        <w:rPr>
          <w:rFonts w:ascii="Century Gothic" w:hAnsi="Century Gothic"/>
        </w:rPr>
        <w:t xml:space="preserve">The young people broadly felt that they were, with </w:t>
      </w:r>
      <w:r w:rsidRPr="00B600D9">
        <w:rPr>
          <w:rFonts w:ascii="Century Gothic" w:hAnsi="Century Gothic"/>
          <w:b/>
        </w:rPr>
        <w:t>Billie-Jo</w:t>
      </w:r>
      <w:r w:rsidR="001D724D" w:rsidRPr="00B600D9">
        <w:rPr>
          <w:rFonts w:ascii="Century Gothic" w:hAnsi="Century Gothic"/>
        </w:rPr>
        <w:t xml:space="preserve"> commenting that</w:t>
      </w:r>
      <w:r w:rsidRPr="00B600D9">
        <w:rPr>
          <w:rFonts w:ascii="Century Gothic" w:hAnsi="Century Gothic"/>
        </w:rPr>
        <w:t xml:space="preserve"> she did as she was allowed to attend her review meetings and was given a phone number to call if she needed to speak to someone at any time. </w:t>
      </w:r>
      <w:r w:rsidRPr="00B600D9">
        <w:rPr>
          <w:rFonts w:ascii="Century Gothic" w:hAnsi="Century Gothic"/>
          <w:b/>
        </w:rPr>
        <w:t>Duncan</w:t>
      </w:r>
      <w:r w:rsidRPr="00B600D9">
        <w:rPr>
          <w:rFonts w:ascii="Century Gothic" w:hAnsi="Century Gothic"/>
        </w:rPr>
        <w:t xml:space="preserve"> said that social services respected his decision to pursue his independence and stop meeting with his social worker, although the social worker was still available for him in the background. </w:t>
      </w:r>
    </w:p>
    <w:p w14:paraId="617701CD" w14:textId="5D79F44F" w:rsidR="00503632" w:rsidRPr="00B600D9" w:rsidRDefault="00037DE1" w:rsidP="00077916">
      <w:pPr>
        <w:jc w:val="both"/>
        <w:rPr>
          <w:rFonts w:ascii="Century Gothic" w:hAnsi="Century Gothic"/>
        </w:rPr>
      </w:pPr>
      <w:r w:rsidRPr="00B600D9">
        <w:rPr>
          <w:rFonts w:ascii="Century Gothic" w:hAnsi="Century Gothic"/>
        </w:rPr>
        <w:t xml:space="preserve">The role of local authorities in supporting young people to understand what support they are entitled to was discussed. Many YP do not know their entitlements, particularly as the entitlements change frequently. YPs often seek information online, which tends to be national rather than regional. Innovative ways of reaching YP with this information were discussed, including through apps and social media. </w:t>
      </w:r>
    </w:p>
    <w:p w14:paraId="743E72CE" w14:textId="45F128E9" w:rsidR="00037DE1" w:rsidRPr="00B600D9" w:rsidRDefault="00037DE1" w:rsidP="00077916">
      <w:pPr>
        <w:jc w:val="both"/>
        <w:rPr>
          <w:rFonts w:ascii="Century Gothic" w:hAnsi="Century Gothic"/>
        </w:rPr>
      </w:pPr>
      <w:r w:rsidRPr="00B600D9">
        <w:rPr>
          <w:rFonts w:ascii="Century Gothic" w:hAnsi="Century Gothic"/>
        </w:rPr>
        <w:t xml:space="preserve">Members of the YPBMF offered practical examples of how to encourage participation of YP in decisions that affect their care. All three services represented by the YP </w:t>
      </w:r>
      <w:r w:rsidR="001D724D" w:rsidRPr="00B600D9">
        <w:rPr>
          <w:rFonts w:ascii="Century Gothic" w:hAnsi="Century Gothic"/>
        </w:rPr>
        <w:t>on the panel have policies to</w:t>
      </w:r>
      <w:r w:rsidRPr="00B600D9">
        <w:rPr>
          <w:rFonts w:ascii="Century Gothic" w:hAnsi="Century Gothic"/>
        </w:rPr>
        <w:t xml:space="preserve"> pay young people for their time in cash rather than vouchers, in recognition that they are professional whose experience is being sought. Other examples given include a service director who </w:t>
      </w:r>
      <w:r w:rsidR="00ED5B7A" w:rsidRPr="00B600D9">
        <w:rPr>
          <w:rFonts w:ascii="Century Gothic" w:hAnsi="Century Gothic"/>
        </w:rPr>
        <w:t xml:space="preserve">organises a dinner with YP as </w:t>
      </w:r>
      <w:r w:rsidRPr="00B600D9">
        <w:rPr>
          <w:rFonts w:ascii="Century Gothic" w:hAnsi="Century Gothic"/>
        </w:rPr>
        <w:t xml:space="preserve">opportunity for discussion and a corporate parent </w:t>
      </w:r>
      <w:proofErr w:type="spellStart"/>
      <w:r w:rsidRPr="00B600D9">
        <w:rPr>
          <w:rFonts w:ascii="Century Gothic" w:hAnsi="Century Gothic"/>
        </w:rPr>
        <w:t>bbq</w:t>
      </w:r>
      <w:proofErr w:type="spellEnd"/>
      <w:r w:rsidRPr="00B600D9">
        <w:rPr>
          <w:rFonts w:ascii="Century Gothic" w:hAnsi="Century Gothic"/>
        </w:rPr>
        <w:t xml:space="preserve">. The YP felt that it is good practice to offer formal and informal opportunities to encourage participation. </w:t>
      </w:r>
    </w:p>
    <w:p w14:paraId="6B7190D5" w14:textId="4FBD04F3" w:rsidR="00037DE1" w:rsidRPr="00B600D9" w:rsidRDefault="00037DE1" w:rsidP="00077916">
      <w:pPr>
        <w:jc w:val="both"/>
        <w:rPr>
          <w:rFonts w:ascii="Century Gothic" w:hAnsi="Century Gothic"/>
        </w:rPr>
      </w:pPr>
      <w:r w:rsidRPr="00B600D9">
        <w:rPr>
          <w:rFonts w:ascii="Century Gothic" w:hAnsi="Century Gothic"/>
        </w:rPr>
        <w:t xml:space="preserve">The YP were asked if they have access to decision makers. There is variation across boroughs but every local authority should be doing this. One YP felt that ‘the only opportunities for change have come through access to decision makers.’ Examples of good practice given were quarterly meetings between Children in Care Councils and the corporate parent board with regular reports back on progress since the last meeting; and a local authority in which the Children in Care Council have a stamp of approval on all new policies and guidance reflecting the principle of ‘nothing about us without us.’ </w:t>
      </w:r>
    </w:p>
    <w:p w14:paraId="7C155D28" w14:textId="16226C5C" w:rsidR="00037DE1" w:rsidRPr="00B600D9" w:rsidRDefault="00492D67" w:rsidP="00077916">
      <w:pPr>
        <w:jc w:val="both"/>
        <w:rPr>
          <w:rFonts w:ascii="Century Gothic" w:hAnsi="Century Gothic"/>
        </w:rPr>
      </w:pPr>
      <w:r w:rsidRPr="00B600D9">
        <w:rPr>
          <w:rFonts w:ascii="Century Gothic" w:hAnsi="Century Gothic"/>
          <w:b/>
        </w:rPr>
        <w:t>Tim</w:t>
      </w:r>
      <w:r w:rsidRPr="00B600D9">
        <w:rPr>
          <w:rFonts w:ascii="Century Gothic" w:hAnsi="Century Gothic"/>
        </w:rPr>
        <w:t xml:space="preserve"> thanked </w:t>
      </w:r>
      <w:r w:rsidRPr="00B600D9">
        <w:rPr>
          <w:rFonts w:ascii="Century Gothic" w:hAnsi="Century Gothic"/>
          <w:b/>
        </w:rPr>
        <w:t>Billie-Jo, Duncan and Faye</w:t>
      </w:r>
      <w:r w:rsidRPr="00B600D9">
        <w:rPr>
          <w:rFonts w:ascii="Century Gothic" w:hAnsi="Century Gothic"/>
        </w:rPr>
        <w:t xml:space="preserve"> for sharing their insights and experiences and thanked </w:t>
      </w:r>
      <w:r w:rsidRPr="00B600D9">
        <w:rPr>
          <w:rFonts w:ascii="Century Gothic" w:hAnsi="Century Gothic"/>
          <w:b/>
        </w:rPr>
        <w:t>Tutu</w:t>
      </w:r>
      <w:r w:rsidRPr="00B600D9">
        <w:rPr>
          <w:rFonts w:ascii="Century Gothic" w:hAnsi="Century Gothic"/>
        </w:rPr>
        <w:t xml:space="preserve"> for her excellent role as questioner. </w:t>
      </w:r>
    </w:p>
    <w:p w14:paraId="0454E52C" w14:textId="7F2C7D88" w:rsidR="004437D6" w:rsidRPr="00B600D9" w:rsidRDefault="005B6571" w:rsidP="00077916">
      <w:pPr>
        <w:jc w:val="both"/>
        <w:rPr>
          <w:rFonts w:ascii="Century Gothic" w:hAnsi="Century Gothic"/>
          <w:u w:val="single"/>
        </w:rPr>
      </w:pPr>
      <w:r>
        <w:rPr>
          <w:rFonts w:ascii="Century Gothic" w:hAnsi="Century Gothic"/>
          <w:u w:val="single"/>
        </w:rPr>
        <w:t>Panel 2: P</w:t>
      </w:r>
      <w:r w:rsidR="00CE55A2" w:rsidRPr="00B600D9">
        <w:rPr>
          <w:rFonts w:ascii="Century Gothic" w:hAnsi="Century Gothic"/>
          <w:u w:val="single"/>
        </w:rPr>
        <w:t>ractitioners</w:t>
      </w:r>
    </w:p>
    <w:p w14:paraId="4E45A05E" w14:textId="4C20717D" w:rsidR="00664697" w:rsidRPr="00B600D9" w:rsidRDefault="00664697" w:rsidP="00077916">
      <w:pPr>
        <w:jc w:val="both"/>
        <w:rPr>
          <w:rFonts w:ascii="Century Gothic" w:hAnsi="Century Gothic"/>
        </w:rPr>
      </w:pPr>
      <w:r w:rsidRPr="00B600D9">
        <w:rPr>
          <w:rFonts w:ascii="Century Gothic" w:hAnsi="Century Gothic"/>
        </w:rPr>
        <w:t>During the second session, the APPG heard from two</w:t>
      </w:r>
      <w:r w:rsidR="001D724D" w:rsidRPr="00B600D9">
        <w:rPr>
          <w:rFonts w:ascii="Century Gothic" w:hAnsi="Century Gothic"/>
        </w:rPr>
        <w:t xml:space="preserve"> </w:t>
      </w:r>
      <w:r w:rsidRPr="00B600D9">
        <w:rPr>
          <w:rFonts w:ascii="Century Gothic" w:hAnsi="Century Gothic"/>
        </w:rPr>
        <w:t xml:space="preserve">experienced social workers and representatives of the British Association of Social Workers (BASW): </w:t>
      </w:r>
      <w:r w:rsidRPr="00B600D9">
        <w:rPr>
          <w:rFonts w:ascii="Century Gothic" w:hAnsi="Century Gothic"/>
          <w:b/>
        </w:rPr>
        <w:t xml:space="preserve">Melanie </w:t>
      </w:r>
      <w:proofErr w:type="spellStart"/>
      <w:r w:rsidRPr="00B600D9">
        <w:rPr>
          <w:rFonts w:ascii="Century Gothic" w:hAnsi="Century Gothic"/>
          <w:b/>
        </w:rPr>
        <w:t>Adegbite</w:t>
      </w:r>
      <w:proofErr w:type="spellEnd"/>
      <w:r w:rsidRPr="00B600D9">
        <w:rPr>
          <w:rFonts w:ascii="Century Gothic" w:hAnsi="Century Gothic"/>
        </w:rPr>
        <w:t xml:space="preserve"> and </w:t>
      </w:r>
      <w:r w:rsidRPr="00B600D9">
        <w:rPr>
          <w:rFonts w:ascii="Century Gothic" w:hAnsi="Century Gothic"/>
          <w:b/>
        </w:rPr>
        <w:t>Karen Goodman</w:t>
      </w:r>
      <w:r w:rsidRPr="00B600D9">
        <w:rPr>
          <w:rFonts w:ascii="Century Gothic" w:hAnsi="Century Gothic"/>
        </w:rPr>
        <w:t xml:space="preserve"> along with two deputy </w:t>
      </w:r>
      <w:proofErr w:type="spellStart"/>
      <w:r w:rsidRPr="00B600D9">
        <w:rPr>
          <w:rFonts w:ascii="Century Gothic" w:hAnsi="Century Gothic"/>
        </w:rPr>
        <w:t>headteachers</w:t>
      </w:r>
      <w:proofErr w:type="spellEnd"/>
      <w:r w:rsidRPr="00B600D9">
        <w:rPr>
          <w:rFonts w:ascii="Century Gothic" w:hAnsi="Century Gothic"/>
        </w:rPr>
        <w:t xml:space="preserve"> who are Designated Safeguarding Leads for their schools</w:t>
      </w:r>
      <w:r w:rsidRPr="00B600D9">
        <w:rPr>
          <w:rFonts w:ascii="Century Gothic" w:hAnsi="Century Gothic"/>
          <w:b/>
        </w:rPr>
        <w:t>: Adrian Dudley</w:t>
      </w:r>
      <w:r w:rsidRPr="00B600D9">
        <w:rPr>
          <w:rFonts w:ascii="Century Gothic" w:hAnsi="Century Gothic"/>
        </w:rPr>
        <w:t xml:space="preserve"> of Bishop’s Hatfield Girls’ School in Hertfordshire and </w:t>
      </w:r>
      <w:r w:rsidRPr="00B600D9">
        <w:rPr>
          <w:rFonts w:ascii="Century Gothic" w:hAnsi="Century Gothic"/>
          <w:b/>
        </w:rPr>
        <w:t>Russ</w:t>
      </w:r>
      <w:r w:rsidR="001D724D" w:rsidRPr="00B600D9">
        <w:rPr>
          <w:rFonts w:ascii="Century Gothic" w:hAnsi="Century Gothic"/>
          <w:b/>
        </w:rPr>
        <w:t>ell</w:t>
      </w:r>
      <w:r w:rsidRPr="00B600D9">
        <w:rPr>
          <w:rFonts w:ascii="Century Gothic" w:hAnsi="Century Gothic"/>
          <w:b/>
        </w:rPr>
        <w:t xml:space="preserve"> Clarke</w:t>
      </w:r>
      <w:r w:rsidRPr="00B600D9">
        <w:rPr>
          <w:rFonts w:ascii="Century Gothic" w:hAnsi="Century Gothic"/>
        </w:rPr>
        <w:t xml:space="preserve"> of </w:t>
      </w:r>
      <w:proofErr w:type="spellStart"/>
      <w:r w:rsidRPr="00B600D9">
        <w:rPr>
          <w:rFonts w:ascii="Century Gothic" w:hAnsi="Century Gothic"/>
        </w:rPr>
        <w:t>Haslingden</w:t>
      </w:r>
      <w:proofErr w:type="spellEnd"/>
      <w:r w:rsidRPr="00B600D9">
        <w:rPr>
          <w:rFonts w:ascii="Century Gothic" w:hAnsi="Century Gothic"/>
        </w:rPr>
        <w:t xml:space="preserve"> High School in </w:t>
      </w:r>
      <w:r w:rsidR="001D724D" w:rsidRPr="00B600D9">
        <w:rPr>
          <w:rFonts w:ascii="Century Gothic" w:hAnsi="Century Gothic"/>
        </w:rPr>
        <w:t>Rossendale</w:t>
      </w:r>
      <w:r w:rsidRPr="00B600D9">
        <w:rPr>
          <w:rFonts w:ascii="Century Gothic" w:hAnsi="Century Gothic"/>
        </w:rPr>
        <w:t xml:space="preserve">. </w:t>
      </w:r>
    </w:p>
    <w:p w14:paraId="2FB4E6C2" w14:textId="031388E2" w:rsidR="00664697" w:rsidRPr="00B600D9" w:rsidRDefault="00664697" w:rsidP="00077916">
      <w:pPr>
        <w:jc w:val="both"/>
        <w:rPr>
          <w:rFonts w:ascii="Century Gothic" w:hAnsi="Century Gothic"/>
        </w:rPr>
      </w:pPr>
      <w:r w:rsidRPr="00B600D9">
        <w:rPr>
          <w:rFonts w:ascii="Century Gothic" w:hAnsi="Century Gothic"/>
          <w:b/>
        </w:rPr>
        <w:t>Tim Loughton MP</w:t>
      </w:r>
      <w:r w:rsidRPr="00B600D9">
        <w:rPr>
          <w:rFonts w:ascii="Century Gothic" w:hAnsi="Century Gothic"/>
        </w:rPr>
        <w:t xml:space="preserve"> began by asking whether the practitioners have observed that thresholds for intervention by social services have risen. </w:t>
      </w:r>
      <w:r w:rsidRPr="00B600D9">
        <w:rPr>
          <w:rFonts w:ascii="Century Gothic" w:hAnsi="Century Gothic"/>
          <w:b/>
        </w:rPr>
        <w:t>Karen Goodman</w:t>
      </w:r>
      <w:r w:rsidRPr="00B600D9">
        <w:rPr>
          <w:rFonts w:ascii="Century Gothic" w:hAnsi="Century Gothic"/>
        </w:rPr>
        <w:t xml:space="preserve"> advised that thresholds have risen, but so have the circumstances which give rise to interventions. Threshold documents in use across different local authorities are largely similar but may define risks in different ways. </w:t>
      </w:r>
      <w:r w:rsidRPr="00B600D9">
        <w:rPr>
          <w:rFonts w:ascii="Century Gothic" w:hAnsi="Century Gothic"/>
          <w:b/>
        </w:rPr>
        <w:t xml:space="preserve">Melanie </w:t>
      </w:r>
      <w:proofErr w:type="spellStart"/>
      <w:r w:rsidRPr="00B600D9">
        <w:rPr>
          <w:rFonts w:ascii="Century Gothic" w:hAnsi="Century Gothic"/>
          <w:b/>
        </w:rPr>
        <w:t>Adegbite</w:t>
      </w:r>
      <w:proofErr w:type="spellEnd"/>
      <w:r w:rsidRPr="00B600D9">
        <w:rPr>
          <w:rFonts w:ascii="Century Gothic" w:hAnsi="Century Gothic"/>
        </w:rPr>
        <w:t xml:space="preserve"> observed that her local authority uses the London Child Protec</w:t>
      </w:r>
      <w:r w:rsidR="001D724D" w:rsidRPr="00B600D9">
        <w:rPr>
          <w:rFonts w:ascii="Century Gothic" w:hAnsi="Century Gothic"/>
        </w:rPr>
        <w:t>tion</w:t>
      </w:r>
      <w:r w:rsidRPr="00B600D9">
        <w:rPr>
          <w:rFonts w:ascii="Century Gothic" w:hAnsi="Century Gothic"/>
        </w:rPr>
        <w:t xml:space="preserve"> Procedures and Practice Guidance which is meant to be guidance but many local authorities have adopted in a very prescriptive way. </w:t>
      </w:r>
    </w:p>
    <w:p w14:paraId="5A82919D" w14:textId="5E192314" w:rsidR="00934429" w:rsidRPr="00B600D9" w:rsidRDefault="00CE55A2" w:rsidP="00077916">
      <w:pPr>
        <w:jc w:val="both"/>
        <w:rPr>
          <w:rFonts w:ascii="Century Gothic" w:hAnsi="Century Gothic"/>
        </w:rPr>
      </w:pPr>
      <w:r w:rsidRPr="00B600D9">
        <w:rPr>
          <w:rFonts w:ascii="Century Gothic" w:hAnsi="Century Gothic"/>
        </w:rPr>
        <w:t>L</w:t>
      </w:r>
      <w:r w:rsidR="00664697" w:rsidRPr="00B600D9">
        <w:rPr>
          <w:rFonts w:ascii="Century Gothic" w:hAnsi="Century Gothic"/>
        </w:rPr>
        <w:t>ocal authorities</w:t>
      </w:r>
      <w:r w:rsidRPr="00B600D9">
        <w:rPr>
          <w:rFonts w:ascii="Century Gothic" w:hAnsi="Century Gothic"/>
        </w:rPr>
        <w:t xml:space="preserve"> with</w:t>
      </w:r>
      <w:r w:rsidR="00664697" w:rsidRPr="00B600D9">
        <w:rPr>
          <w:rFonts w:ascii="Century Gothic" w:hAnsi="Century Gothic"/>
        </w:rPr>
        <w:t xml:space="preserve"> a</w:t>
      </w:r>
      <w:r w:rsidR="00934429" w:rsidRPr="00B600D9">
        <w:rPr>
          <w:rFonts w:ascii="Century Gothic" w:hAnsi="Century Gothic"/>
        </w:rPr>
        <w:t xml:space="preserve"> lack of resources </w:t>
      </w:r>
      <w:r w:rsidRPr="00B600D9">
        <w:rPr>
          <w:rFonts w:ascii="Century Gothic" w:hAnsi="Century Gothic"/>
        </w:rPr>
        <w:t xml:space="preserve">have found ways to refer to other services as opposed to providing initial support for that family </w:t>
      </w:r>
      <w:r w:rsidR="009A2692" w:rsidRPr="00B600D9">
        <w:rPr>
          <w:rFonts w:ascii="Century Gothic" w:hAnsi="Century Gothic"/>
        </w:rPr>
        <w:t>meaning that families then come to social services at later stage when they are then m</w:t>
      </w:r>
      <w:r w:rsidRPr="00B600D9">
        <w:rPr>
          <w:rFonts w:ascii="Century Gothic" w:hAnsi="Century Gothic"/>
        </w:rPr>
        <w:t xml:space="preserve">uch more complex </w:t>
      </w:r>
      <w:r w:rsidR="00C47BBF" w:rsidRPr="00B600D9">
        <w:rPr>
          <w:rFonts w:ascii="Century Gothic" w:hAnsi="Century Gothic"/>
        </w:rPr>
        <w:t xml:space="preserve">cases. </w:t>
      </w:r>
      <w:r w:rsidR="009A2692" w:rsidRPr="00B600D9">
        <w:rPr>
          <w:rFonts w:ascii="Century Gothic" w:hAnsi="Century Gothic"/>
          <w:b/>
        </w:rPr>
        <w:t xml:space="preserve">Melanie </w:t>
      </w:r>
      <w:proofErr w:type="spellStart"/>
      <w:r w:rsidR="00934429" w:rsidRPr="00B600D9">
        <w:rPr>
          <w:rFonts w:ascii="Century Gothic" w:hAnsi="Century Gothic"/>
          <w:b/>
        </w:rPr>
        <w:t>Adegbite</w:t>
      </w:r>
      <w:proofErr w:type="spellEnd"/>
      <w:r w:rsidR="00934429" w:rsidRPr="00B600D9">
        <w:rPr>
          <w:rFonts w:ascii="Century Gothic" w:hAnsi="Century Gothic"/>
          <w:b/>
        </w:rPr>
        <w:t xml:space="preserve"> </w:t>
      </w:r>
      <w:r w:rsidR="009A2692" w:rsidRPr="00B600D9">
        <w:rPr>
          <w:rFonts w:ascii="Century Gothic" w:hAnsi="Century Gothic"/>
        </w:rPr>
        <w:t>felt that cases she would have worked on earlier in her career twenty years are now worked on by services outside local authorities. Karen Goodman said feedback from BASW members supports this, and that section 17 cases are being escalated to section 47</w:t>
      </w:r>
      <w:r w:rsidR="00934429" w:rsidRPr="00B600D9">
        <w:rPr>
          <w:rFonts w:ascii="Century Gothic" w:hAnsi="Century Gothic"/>
        </w:rPr>
        <w:t xml:space="preserve"> cases</w:t>
      </w:r>
      <w:r w:rsidR="009A2692" w:rsidRPr="00B600D9">
        <w:rPr>
          <w:rFonts w:ascii="Century Gothic" w:hAnsi="Century Gothic"/>
        </w:rPr>
        <w:t xml:space="preserve">. Social workers would like to undertake the work on an early basis and have time to do the necessary work with the child. </w:t>
      </w:r>
      <w:r w:rsidR="00934429" w:rsidRPr="00B600D9">
        <w:rPr>
          <w:rFonts w:ascii="Century Gothic" w:hAnsi="Century Gothic"/>
        </w:rPr>
        <w:t xml:space="preserve"> </w:t>
      </w:r>
    </w:p>
    <w:p w14:paraId="7645139A" w14:textId="79C770B6" w:rsidR="00900EF9" w:rsidRPr="00B600D9" w:rsidRDefault="009A2692" w:rsidP="00077916">
      <w:pPr>
        <w:jc w:val="both"/>
        <w:rPr>
          <w:rFonts w:ascii="Century Gothic" w:hAnsi="Century Gothic"/>
        </w:rPr>
      </w:pPr>
      <w:r w:rsidRPr="00B600D9">
        <w:rPr>
          <w:rFonts w:ascii="Century Gothic" w:hAnsi="Century Gothic"/>
        </w:rPr>
        <w:t xml:space="preserve">The deputy </w:t>
      </w:r>
      <w:proofErr w:type="spellStart"/>
      <w:r w:rsidRPr="00B600D9">
        <w:rPr>
          <w:rFonts w:ascii="Century Gothic" w:hAnsi="Century Gothic"/>
        </w:rPr>
        <w:t>headteachers</w:t>
      </w:r>
      <w:proofErr w:type="spellEnd"/>
      <w:r w:rsidRPr="00B600D9">
        <w:rPr>
          <w:rFonts w:ascii="Century Gothic" w:hAnsi="Century Gothic"/>
        </w:rPr>
        <w:t xml:space="preserve"> were asked whether they are having more interaction with social services. </w:t>
      </w:r>
      <w:r w:rsidRPr="00B600D9">
        <w:rPr>
          <w:rFonts w:ascii="Century Gothic" w:hAnsi="Century Gothic"/>
          <w:b/>
        </w:rPr>
        <w:t>Russell Clarke</w:t>
      </w:r>
      <w:r w:rsidRPr="00B600D9">
        <w:rPr>
          <w:rFonts w:ascii="Century Gothic" w:hAnsi="Century Gothic"/>
        </w:rPr>
        <w:t xml:space="preserve">’s school is located on the border of three local authorities and he observes significant variation across these. </w:t>
      </w:r>
      <w:r w:rsidR="00900EF9" w:rsidRPr="00B600D9">
        <w:rPr>
          <w:rFonts w:ascii="Century Gothic" w:hAnsi="Century Gothic"/>
        </w:rPr>
        <w:t xml:space="preserve">He has empathy with social services where services are diminishing. He described the difficulties for schools where staff are working more as social workers than teachers. In seven years as a Designated Safeguarding Lead (DSL) he has seen staff draw in on issues beyond their capabilities. </w:t>
      </w:r>
      <w:r w:rsidR="00934429" w:rsidRPr="00B600D9">
        <w:rPr>
          <w:rFonts w:ascii="Century Gothic" w:hAnsi="Century Gothic"/>
        </w:rPr>
        <w:t xml:space="preserve"> </w:t>
      </w:r>
      <w:r w:rsidR="00900EF9" w:rsidRPr="00B600D9">
        <w:rPr>
          <w:rFonts w:ascii="Century Gothic" w:hAnsi="Century Gothic"/>
        </w:rPr>
        <w:t xml:space="preserve">Reflecting on what the YP mentioned in the previous session, </w:t>
      </w:r>
      <w:r w:rsidR="00934429" w:rsidRPr="00B600D9">
        <w:rPr>
          <w:rFonts w:ascii="Century Gothic" w:hAnsi="Century Gothic"/>
        </w:rPr>
        <w:t xml:space="preserve">hr </w:t>
      </w:r>
      <w:r w:rsidR="00900EF9" w:rsidRPr="00B600D9">
        <w:rPr>
          <w:rFonts w:ascii="Century Gothic" w:hAnsi="Century Gothic"/>
        </w:rPr>
        <w:t xml:space="preserve">emphasised that communication and information are the missing link and are not expensive to provide. </w:t>
      </w:r>
    </w:p>
    <w:p w14:paraId="66E80C91" w14:textId="7E0DC0B5" w:rsidR="00C47BBF" w:rsidRPr="00B600D9" w:rsidRDefault="00900EF9" w:rsidP="00077916">
      <w:pPr>
        <w:jc w:val="both"/>
        <w:rPr>
          <w:rFonts w:ascii="Century Gothic" w:hAnsi="Century Gothic"/>
        </w:rPr>
      </w:pPr>
      <w:r w:rsidRPr="00B600D9">
        <w:rPr>
          <w:rFonts w:ascii="Century Gothic" w:hAnsi="Century Gothic"/>
          <w:b/>
        </w:rPr>
        <w:t>Adrian Dudley</w:t>
      </w:r>
      <w:r w:rsidRPr="00B600D9">
        <w:rPr>
          <w:rFonts w:ascii="Century Gothic" w:hAnsi="Century Gothic"/>
        </w:rPr>
        <w:t xml:space="preserve"> commended his local authority, Hertfordshire, but said the key issue is consistency. School staff a</w:t>
      </w:r>
      <w:r w:rsidR="00204A60" w:rsidRPr="00B600D9">
        <w:rPr>
          <w:rFonts w:ascii="Century Gothic" w:hAnsi="Century Gothic"/>
        </w:rPr>
        <w:t>re</w:t>
      </w:r>
      <w:r w:rsidRPr="00B600D9">
        <w:rPr>
          <w:rFonts w:ascii="Century Gothic" w:hAnsi="Century Gothic"/>
        </w:rPr>
        <w:t xml:space="preserve"> on shifting sands as they get used to a set of criteria, then a year later these change. Over his 12 years as a DSL</w:t>
      </w:r>
      <w:r w:rsidR="00934429" w:rsidRPr="00B600D9">
        <w:rPr>
          <w:rFonts w:ascii="Century Gothic" w:hAnsi="Century Gothic"/>
          <w:color w:val="FF0000"/>
        </w:rPr>
        <w:t xml:space="preserve"> </w:t>
      </w:r>
      <w:r w:rsidRPr="00B600D9">
        <w:rPr>
          <w:rFonts w:ascii="Century Gothic" w:hAnsi="Century Gothic"/>
        </w:rPr>
        <w:t xml:space="preserve">these have changed hugely. He also expressed </w:t>
      </w:r>
      <w:r w:rsidR="00C47BBF" w:rsidRPr="00B600D9">
        <w:rPr>
          <w:rFonts w:ascii="Century Gothic" w:hAnsi="Century Gothic"/>
        </w:rPr>
        <w:t>sympathy and empath</w:t>
      </w:r>
      <w:r w:rsidR="009867AE" w:rsidRPr="00B600D9">
        <w:rPr>
          <w:rFonts w:ascii="Century Gothic" w:hAnsi="Century Gothic"/>
        </w:rPr>
        <w:t>y with children’s social care for carrying out a ‘</w:t>
      </w:r>
      <w:r w:rsidR="00C47BBF" w:rsidRPr="00B600D9">
        <w:rPr>
          <w:rFonts w:ascii="Century Gothic" w:hAnsi="Century Gothic"/>
        </w:rPr>
        <w:t>thankless task</w:t>
      </w:r>
      <w:r w:rsidR="009867AE" w:rsidRPr="00B600D9">
        <w:rPr>
          <w:rFonts w:ascii="Century Gothic" w:hAnsi="Century Gothic"/>
        </w:rPr>
        <w:t xml:space="preserve">’ hampered by a </w:t>
      </w:r>
      <w:r w:rsidR="00934429" w:rsidRPr="00B600D9">
        <w:rPr>
          <w:rFonts w:ascii="Century Gothic" w:hAnsi="Century Gothic"/>
        </w:rPr>
        <w:t>lack of resources and</w:t>
      </w:r>
      <w:r w:rsidR="00C47BBF" w:rsidRPr="00B600D9">
        <w:rPr>
          <w:rFonts w:ascii="Century Gothic" w:hAnsi="Century Gothic"/>
        </w:rPr>
        <w:t xml:space="preserve"> limited by guidelines on whether they can intervene. </w:t>
      </w:r>
      <w:r w:rsidR="009867AE" w:rsidRPr="00B600D9">
        <w:rPr>
          <w:rFonts w:ascii="Century Gothic" w:hAnsi="Century Gothic"/>
        </w:rPr>
        <w:t>He mentioned e</w:t>
      </w:r>
      <w:r w:rsidR="00C47BBF" w:rsidRPr="00B600D9">
        <w:rPr>
          <w:rFonts w:ascii="Century Gothic" w:hAnsi="Century Gothic"/>
        </w:rPr>
        <w:t xml:space="preserve">xamples of cases where </w:t>
      </w:r>
      <w:r w:rsidR="009867AE" w:rsidRPr="00B600D9">
        <w:rPr>
          <w:rFonts w:ascii="Century Gothic" w:hAnsi="Century Gothic"/>
        </w:rPr>
        <w:t>the school feels the case</w:t>
      </w:r>
      <w:r w:rsidR="00C47BBF" w:rsidRPr="00B600D9">
        <w:rPr>
          <w:rFonts w:ascii="Century Gothic" w:hAnsi="Century Gothic"/>
        </w:rPr>
        <w:t xml:space="preserve"> does meet </w:t>
      </w:r>
      <w:r w:rsidR="009867AE" w:rsidRPr="00B600D9">
        <w:rPr>
          <w:rFonts w:ascii="Century Gothic" w:hAnsi="Century Gothic"/>
        </w:rPr>
        <w:t>the threshold but social services</w:t>
      </w:r>
      <w:r w:rsidR="00C47BBF" w:rsidRPr="00B600D9">
        <w:rPr>
          <w:rFonts w:ascii="Century Gothic" w:hAnsi="Century Gothic"/>
        </w:rPr>
        <w:t xml:space="preserve"> disagrees and it is bounced back to school </w:t>
      </w:r>
      <w:r w:rsidR="009867AE" w:rsidRPr="00B600D9">
        <w:rPr>
          <w:rFonts w:ascii="Century Gothic" w:hAnsi="Century Gothic"/>
        </w:rPr>
        <w:t>which then</w:t>
      </w:r>
      <w:r w:rsidR="00C47BBF" w:rsidRPr="00B600D9">
        <w:rPr>
          <w:rFonts w:ascii="Century Gothic" w:hAnsi="Century Gothic"/>
        </w:rPr>
        <w:t>– with persistence – eventually do</w:t>
      </w:r>
      <w:r w:rsidR="00934429" w:rsidRPr="00B600D9">
        <w:rPr>
          <w:rFonts w:ascii="Century Gothic" w:hAnsi="Century Gothic"/>
        </w:rPr>
        <w:t>es</w:t>
      </w:r>
      <w:r w:rsidR="00C47BBF" w:rsidRPr="00B600D9">
        <w:rPr>
          <w:rFonts w:ascii="Century Gothic" w:hAnsi="Century Gothic"/>
        </w:rPr>
        <w:t xml:space="preserve"> get refe</w:t>
      </w:r>
      <w:r w:rsidR="009867AE" w:rsidRPr="00B600D9">
        <w:rPr>
          <w:rFonts w:ascii="Century Gothic" w:hAnsi="Century Gothic"/>
        </w:rPr>
        <w:t>rred to children’s social care</w:t>
      </w:r>
      <w:r w:rsidR="00C47BBF" w:rsidRPr="00B600D9">
        <w:rPr>
          <w:rFonts w:ascii="Century Gothic" w:hAnsi="Century Gothic"/>
        </w:rPr>
        <w:t xml:space="preserve"> on same criteria </w:t>
      </w:r>
      <w:r w:rsidR="009867AE" w:rsidRPr="00B600D9">
        <w:rPr>
          <w:rFonts w:ascii="Century Gothic" w:hAnsi="Century Gothic"/>
        </w:rPr>
        <w:t xml:space="preserve">as the initial referral </w:t>
      </w:r>
      <w:r w:rsidR="00C47BBF" w:rsidRPr="00B600D9">
        <w:rPr>
          <w:rFonts w:ascii="Century Gothic" w:hAnsi="Century Gothic"/>
        </w:rPr>
        <w:t xml:space="preserve">– </w:t>
      </w:r>
      <w:r w:rsidR="009867AE" w:rsidRPr="00B600D9">
        <w:rPr>
          <w:rFonts w:ascii="Century Gothic" w:hAnsi="Century Gothic"/>
        </w:rPr>
        <w:t>in these cases it is unclear</w:t>
      </w:r>
      <w:r w:rsidR="00C47BBF" w:rsidRPr="00B600D9">
        <w:rPr>
          <w:rFonts w:ascii="Century Gothic" w:hAnsi="Century Gothic"/>
        </w:rPr>
        <w:t xml:space="preserve"> why </w:t>
      </w:r>
      <w:r w:rsidR="009867AE" w:rsidRPr="00B600D9">
        <w:rPr>
          <w:rFonts w:ascii="Century Gothic" w:hAnsi="Century Gothic"/>
        </w:rPr>
        <w:t xml:space="preserve">the referral was </w:t>
      </w:r>
      <w:r w:rsidR="00C47BBF" w:rsidRPr="00B600D9">
        <w:rPr>
          <w:rFonts w:ascii="Century Gothic" w:hAnsi="Century Gothic"/>
        </w:rPr>
        <w:t xml:space="preserve">not initially accepted. </w:t>
      </w:r>
    </w:p>
    <w:p w14:paraId="17035F85" w14:textId="684D7FCD" w:rsidR="00204A60" w:rsidRPr="00B600D9" w:rsidRDefault="00002799" w:rsidP="00077916">
      <w:pPr>
        <w:jc w:val="both"/>
        <w:rPr>
          <w:rFonts w:ascii="Century Gothic" w:hAnsi="Century Gothic"/>
        </w:rPr>
      </w:pPr>
      <w:r w:rsidRPr="00B600D9">
        <w:rPr>
          <w:rFonts w:ascii="Century Gothic" w:hAnsi="Century Gothic"/>
          <w:b/>
        </w:rPr>
        <w:t xml:space="preserve">Melanie </w:t>
      </w:r>
      <w:proofErr w:type="spellStart"/>
      <w:r w:rsidRPr="00B600D9">
        <w:rPr>
          <w:rFonts w:ascii="Century Gothic" w:hAnsi="Century Gothic"/>
          <w:b/>
        </w:rPr>
        <w:t>Adegbite</w:t>
      </w:r>
      <w:proofErr w:type="spellEnd"/>
      <w:r w:rsidRPr="00B600D9">
        <w:rPr>
          <w:rFonts w:ascii="Century Gothic" w:hAnsi="Century Gothic"/>
        </w:rPr>
        <w:t xml:space="preserve"> highlighted that to take a case to court proceedings social services need to have evidence. With lots of small incidents </w:t>
      </w:r>
      <w:r w:rsidR="00934429" w:rsidRPr="00B600D9">
        <w:rPr>
          <w:rFonts w:ascii="Century Gothic" w:hAnsi="Century Gothic"/>
        </w:rPr>
        <w:t xml:space="preserve">over a period of time social workers have the opportunity to </w:t>
      </w:r>
      <w:r w:rsidRPr="00B600D9">
        <w:rPr>
          <w:rFonts w:ascii="Century Gothic" w:hAnsi="Century Gothic"/>
        </w:rPr>
        <w:t xml:space="preserve">collect evidence and understand </w:t>
      </w:r>
      <w:r w:rsidR="00934429" w:rsidRPr="00B600D9">
        <w:rPr>
          <w:rFonts w:ascii="Century Gothic" w:hAnsi="Century Gothic"/>
        </w:rPr>
        <w:t xml:space="preserve">the </w:t>
      </w:r>
      <w:r w:rsidRPr="00B600D9">
        <w:rPr>
          <w:rFonts w:ascii="Century Gothic" w:hAnsi="Century Gothic"/>
        </w:rPr>
        <w:t>journey of that case. If cases are batted back to other services such as Early Help, social workers don’t have the opportunity to collect evidence and understand the case or the time and capacity to do the work they want to.</w:t>
      </w:r>
      <w:r w:rsidR="00934429" w:rsidRPr="00B600D9">
        <w:rPr>
          <w:rFonts w:ascii="Century Gothic" w:hAnsi="Century Gothic"/>
        </w:rPr>
        <w:t xml:space="preserve"> </w:t>
      </w:r>
      <w:r w:rsidR="00204A60" w:rsidRPr="00B600D9">
        <w:rPr>
          <w:rFonts w:ascii="Century Gothic" w:hAnsi="Century Gothic"/>
        </w:rPr>
        <w:t xml:space="preserve">Passing families back and forth between different services also negatively impacts professionals’ ability to form relationship with families that are necessary to give the support they need. </w:t>
      </w:r>
    </w:p>
    <w:p w14:paraId="6797004E" w14:textId="1D7AACB6" w:rsidR="00204A60" w:rsidRPr="00B600D9" w:rsidRDefault="00204A60" w:rsidP="00077916">
      <w:pPr>
        <w:jc w:val="both"/>
        <w:rPr>
          <w:rFonts w:ascii="Century Gothic" w:hAnsi="Century Gothic"/>
        </w:rPr>
      </w:pPr>
      <w:r w:rsidRPr="00B600D9">
        <w:rPr>
          <w:rFonts w:ascii="Century Gothic" w:hAnsi="Century Gothic"/>
          <w:b/>
        </w:rPr>
        <w:t>Karen Goodman</w:t>
      </w:r>
      <w:r w:rsidRPr="00B600D9">
        <w:rPr>
          <w:rFonts w:ascii="Century Gothic" w:hAnsi="Century Gothic"/>
        </w:rPr>
        <w:t xml:space="preserve"> discussed the challenges the social work profession faces in recruiting and retaining social workers. There is a lot of “churn” of staff. CYP want consistent social workers and the system should allow for relationships to develop. </w:t>
      </w:r>
      <w:r w:rsidRPr="00B600D9">
        <w:rPr>
          <w:rFonts w:ascii="Century Gothic" w:hAnsi="Century Gothic"/>
          <w:b/>
        </w:rPr>
        <w:t>Adrian Dudley</w:t>
      </w:r>
      <w:r w:rsidRPr="00B600D9">
        <w:rPr>
          <w:rFonts w:ascii="Century Gothic" w:hAnsi="Century Gothic"/>
        </w:rPr>
        <w:t xml:space="preserve"> gave an example of a young person who has had twenty different </w:t>
      </w:r>
      <w:r w:rsidR="00BE4A07" w:rsidRPr="00B600D9">
        <w:rPr>
          <w:rFonts w:ascii="Century Gothic" w:hAnsi="Century Gothic"/>
        </w:rPr>
        <w:t xml:space="preserve">social workers over four years and said that the high turnover of social workers is also a challenge for teachers seeking to establish a professional relationship with social workers. In some cases schools are the most consistent </w:t>
      </w:r>
      <w:r w:rsidR="00934429" w:rsidRPr="00B600D9">
        <w:rPr>
          <w:rFonts w:ascii="Century Gothic" w:hAnsi="Century Gothic"/>
        </w:rPr>
        <w:t xml:space="preserve">thing in a young person’s life. </w:t>
      </w:r>
      <w:r w:rsidRPr="00B600D9">
        <w:rPr>
          <w:rFonts w:ascii="Century Gothic" w:hAnsi="Century Gothic"/>
        </w:rPr>
        <w:t xml:space="preserve">The challenge is compounded by the fact that the numbers of children coming into services are increasing and BASW members have raised concerns about increasing levels of decentralisation, outsourcing and variation. Services </w:t>
      </w:r>
      <w:r w:rsidR="00934429" w:rsidRPr="00B600D9">
        <w:rPr>
          <w:rFonts w:ascii="Century Gothic" w:hAnsi="Century Gothic"/>
        </w:rPr>
        <w:t xml:space="preserve">are </w:t>
      </w:r>
      <w:r w:rsidRPr="00B600D9">
        <w:rPr>
          <w:rFonts w:ascii="Century Gothic" w:hAnsi="Century Gothic"/>
        </w:rPr>
        <w:t>deliv</w:t>
      </w:r>
      <w:r w:rsidR="00934429" w:rsidRPr="00B600D9">
        <w:rPr>
          <w:rFonts w:ascii="Century Gothic" w:hAnsi="Century Gothic"/>
        </w:rPr>
        <w:t xml:space="preserve">ered on the basis of resources and are </w:t>
      </w:r>
      <w:r w:rsidRPr="00B600D9">
        <w:rPr>
          <w:rFonts w:ascii="Century Gothic" w:hAnsi="Century Gothic"/>
        </w:rPr>
        <w:t xml:space="preserve">not adequately needs-led. </w:t>
      </w:r>
      <w:r w:rsidR="008B7382" w:rsidRPr="00B600D9">
        <w:rPr>
          <w:rFonts w:ascii="Century Gothic" w:hAnsi="Century Gothic"/>
        </w:rPr>
        <w:t xml:space="preserve">Workloads are a problem - competent social workers are given additional work and those who challenge things can be seen as trouble-causers, meaning that frequent job changes can be an act of self-preservation. </w:t>
      </w:r>
    </w:p>
    <w:p w14:paraId="57E7AADB" w14:textId="77777777" w:rsidR="00934429" w:rsidRPr="00B600D9" w:rsidRDefault="00BE4A07" w:rsidP="00077916">
      <w:pPr>
        <w:jc w:val="both"/>
        <w:rPr>
          <w:rFonts w:ascii="Century Gothic" w:hAnsi="Century Gothic"/>
        </w:rPr>
      </w:pPr>
      <w:r w:rsidRPr="00B600D9">
        <w:rPr>
          <w:rFonts w:ascii="Century Gothic" w:hAnsi="Century Gothic"/>
          <w:b/>
        </w:rPr>
        <w:t>Russell Clarke</w:t>
      </w:r>
      <w:r w:rsidRPr="00B600D9">
        <w:rPr>
          <w:rFonts w:ascii="Century Gothic" w:hAnsi="Century Gothic"/>
        </w:rPr>
        <w:t xml:space="preserve"> emphasised that schools are a Tier 1 service but he feels that the policy guidance has crept beyond the expectations </w:t>
      </w:r>
      <w:r w:rsidR="00934429" w:rsidRPr="00B600D9">
        <w:rPr>
          <w:rFonts w:ascii="Century Gothic" w:hAnsi="Century Gothic"/>
        </w:rPr>
        <w:t>this</w:t>
      </w:r>
      <w:r w:rsidRPr="00B600D9">
        <w:rPr>
          <w:rFonts w:ascii="Century Gothic" w:hAnsi="Century Gothic"/>
        </w:rPr>
        <w:t xml:space="preserve">. </w:t>
      </w:r>
      <w:r w:rsidR="008C136D" w:rsidRPr="00B600D9">
        <w:rPr>
          <w:rFonts w:ascii="Century Gothic" w:hAnsi="Century Gothic"/>
        </w:rPr>
        <w:t xml:space="preserve">Schools provide an important service but are not able to go through the front door to see what’s happening in the young person’s home, so it is vital that information on this is shared by social services with schools. </w:t>
      </w:r>
    </w:p>
    <w:p w14:paraId="31A98F44" w14:textId="77777777" w:rsidR="00934429" w:rsidRPr="00B600D9" w:rsidRDefault="008C136D" w:rsidP="00077916">
      <w:pPr>
        <w:jc w:val="both"/>
        <w:rPr>
          <w:rFonts w:ascii="Century Gothic" w:hAnsi="Century Gothic"/>
        </w:rPr>
      </w:pPr>
      <w:r w:rsidRPr="00B600D9">
        <w:rPr>
          <w:rFonts w:ascii="Century Gothic" w:hAnsi="Century Gothic"/>
        </w:rPr>
        <w:t xml:space="preserve">The discussion moved on to the appropriateness of threshold levels and the factors that influence how levels are set. </w:t>
      </w:r>
      <w:r w:rsidRPr="00B600D9">
        <w:rPr>
          <w:rFonts w:ascii="Century Gothic" w:hAnsi="Century Gothic"/>
          <w:b/>
        </w:rPr>
        <w:t>Karen Goodman</w:t>
      </w:r>
      <w:r w:rsidRPr="00B600D9">
        <w:rPr>
          <w:rFonts w:ascii="Century Gothic" w:hAnsi="Century Gothic"/>
        </w:rPr>
        <w:t xml:space="preserve"> responded that threshold levels are influenced by local resources, by the findings of serious case reviews and by the social composition of </w:t>
      </w:r>
      <w:r w:rsidR="00934429" w:rsidRPr="00B600D9">
        <w:rPr>
          <w:rFonts w:ascii="Century Gothic" w:hAnsi="Century Gothic"/>
        </w:rPr>
        <w:t>the area in terms of poverty and other factors</w:t>
      </w:r>
      <w:r w:rsidRPr="00B600D9">
        <w:rPr>
          <w:rFonts w:ascii="Century Gothic" w:hAnsi="Century Gothic"/>
        </w:rPr>
        <w:t xml:space="preserve">. Local decision making has been taken away from the front line and is often resource-led. </w:t>
      </w:r>
    </w:p>
    <w:p w14:paraId="7876BFD2" w14:textId="50E9EE42" w:rsidR="008B7382" w:rsidRPr="00B600D9" w:rsidRDefault="008B7382" w:rsidP="00077916">
      <w:pPr>
        <w:jc w:val="both"/>
        <w:rPr>
          <w:rFonts w:ascii="Century Gothic" w:hAnsi="Century Gothic"/>
        </w:rPr>
      </w:pPr>
      <w:r w:rsidRPr="00B600D9">
        <w:rPr>
          <w:rFonts w:ascii="Century Gothic" w:hAnsi="Century Gothic"/>
        </w:rPr>
        <w:t xml:space="preserve">A point was raised about young people accessing their case files, the support they receive to do this and the effects of how things are written up. </w:t>
      </w:r>
      <w:r w:rsidRPr="00B600D9">
        <w:rPr>
          <w:rFonts w:ascii="Century Gothic" w:hAnsi="Century Gothic"/>
          <w:b/>
        </w:rPr>
        <w:t>Billie-Jo, Duncan and Faye</w:t>
      </w:r>
      <w:r w:rsidRPr="00B600D9">
        <w:rPr>
          <w:rFonts w:ascii="Century Gothic" w:hAnsi="Century Gothic"/>
        </w:rPr>
        <w:t xml:space="preserve"> spoke about their peers’ experiences of accessing case files, including negative experiences. Issues discussed include family members’ names being crossed out for safeguarding reasons, </w:t>
      </w:r>
      <w:r w:rsidR="00B62325" w:rsidRPr="00B600D9">
        <w:rPr>
          <w:rFonts w:ascii="Century Gothic" w:hAnsi="Century Gothic"/>
        </w:rPr>
        <w:t>disproportionate focus on relatively minor points such as a lost bus ticket and comments being framed in an overly negative light (in some cases to strengthen the case for support). The young people recommended that that p</w:t>
      </w:r>
      <w:r w:rsidRPr="00B600D9">
        <w:rPr>
          <w:rFonts w:ascii="Century Gothic" w:hAnsi="Century Gothic"/>
        </w:rPr>
        <w:t xml:space="preserve">ractitioners writing up files should always bear in mind that at some point their comments may be read by the young person being spoken about. </w:t>
      </w:r>
      <w:r w:rsidR="00B62325" w:rsidRPr="00B600D9">
        <w:rPr>
          <w:rFonts w:ascii="Century Gothic" w:hAnsi="Century Gothic"/>
        </w:rPr>
        <w:t xml:space="preserve">It is also important that YP are always supported at the point of accessing their files. </w:t>
      </w:r>
    </w:p>
    <w:p w14:paraId="7A325697" w14:textId="4DFDB51C" w:rsidR="008C136D" w:rsidRPr="00B600D9" w:rsidRDefault="00B62325" w:rsidP="00077916">
      <w:pPr>
        <w:jc w:val="both"/>
        <w:rPr>
          <w:rFonts w:ascii="Century Gothic" w:hAnsi="Century Gothic"/>
        </w:rPr>
      </w:pPr>
      <w:r w:rsidRPr="00B600D9">
        <w:rPr>
          <w:rFonts w:ascii="Century Gothic" w:hAnsi="Century Gothic"/>
        </w:rPr>
        <w:t xml:space="preserve">Baroness </w:t>
      </w:r>
      <w:proofErr w:type="spellStart"/>
      <w:r w:rsidRPr="00B600D9">
        <w:rPr>
          <w:rFonts w:ascii="Century Gothic" w:hAnsi="Century Gothic"/>
        </w:rPr>
        <w:t>Walmsley</w:t>
      </w:r>
      <w:proofErr w:type="spellEnd"/>
      <w:r w:rsidRPr="00B600D9">
        <w:rPr>
          <w:rFonts w:ascii="Century Gothic" w:hAnsi="Century Gothic"/>
        </w:rPr>
        <w:t xml:space="preserve"> asked whether schools can be too good at providing support leading to them taking on a greater role</w:t>
      </w:r>
      <w:r w:rsidR="00ED7AEB" w:rsidRPr="00B600D9">
        <w:rPr>
          <w:rFonts w:ascii="Century Gothic" w:hAnsi="Century Gothic"/>
        </w:rPr>
        <w:t xml:space="preserve"> in safeguarding and social care than should be their responsibility. Russell Clarke said that introducing Designated Safeguarding Leads was a positive move but success in this area does lead to an increased workload. The timeline for referrals being picked up by social services is one day but only in the most serious cases do things happen this quickly. </w:t>
      </w:r>
    </w:p>
    <w:p w14:paraId="2F0894FE" w14:textId="77777777" w:rsidR="005B61FF" w:rsidRPr="00B600D9" w:rsidRDefault="005B61FF" w:rsidP="00077916">
      <w:pPr>
        <w:jc w:val="both"/>
        <w:rPr>
          <w:rFonts w:ascii="Century Gothic" w:hAnsi="Century Gothic"/>
        </w:rPr>
      </w:pPr>
      <w:r w:rsidRPr="00B600D9">
        <w:rPr>
          <w:rFonts w:ascii="Century Gothic" w:hAnsi="Century Gothic"/>
          <w:b/>
        </w:rPr>
        <w:t>George Eustice MP</w:t>
      </w:r>
      <w:r w:rsidRPr="00B600D9">
        <w:rPr>
          <w:rFonts w:ascii="Century Gothic" w:hAnsi="Century Gothic"/>
        </w:rPr>
        <w:t xml:space="preserve"> asked about the barriers to information being shared with CYP. The practitioners advised that this is due to a number of factors – sometimes schools don’t hold the full information. There is a lot of misinformation about what information can be shared – schools should have one place to go to for guidelines. </w:t>
      </w:r>
    </w:p>
    <w:p w14:paraId="1919C346" w14:textId="2BB4C225" w:rsidR="005B61FF" w:rsidRPr="00B600D9" w:rsidRDefault="005B61FF" w:rsidP="00077916">
      <w:pPr>
        <w:jc w:val="both"/>
        <w:rPr>
          <w:rFonts w:ascii="Century Gothic" w:hAnsi="Century Gothic"/>
        </w:rPr>
      </w:pPr>
      <w:r w:rsidRPr="00B600D9">
        <w:rPr>
          <w:rFonts w:ascii="Century Gothic" w:hAnsi="Century Gothic"/>
        </w:rPr>
        <w:t xml:space="preserve">From a social work perspective, situations can vary – if a child has been adopted the court order is in place until the child is 18. Sometimes the adoptive parent may not want the child to have contact with siblings, for example if the siblings are in touch with the child’s biological parents. </w:t>
      </w:r>
      <w:r w:rsidRPr="00B600D9">
        <w:rPr>
          <w:rFonts w:ascii="Century Gothic" w:hAnsi="Century Gothic"/>
          <w:b/>
        </w:rPr>
        <w:t>Baroness Tyler</w:t>
      </w:r>
      <w:r w:rsidRPr="00B600D9">
        <w:rPr>
          <w:rFonts w:ascii="Century Gothic" w:hAnsi="Century Gothic"/>
        </w:rPr>
        <w:t xml:space="preserve"> as chair of CAFCASS highlighted that relationships with siblings are one of the most frequent issues which arise for CAFCASS. The issue of contact with siblings after adoption should be revisited as a policy issue from the perspective of the rights of the child. </w:t>
      </w:r>
    </w:p>
    <w:p w14:paraId="5088C0A2" w14:textId="57AF1894" w:rsidR="005B61FF" w:rsidRPr="00B600D9" w:rsidRDefault="005B61FF" w:rsidP="00077916">
      <w:pPr>
        <w:jc w:val="both"/>
        <w:rPr>
          <w:rFonts w:ascii="Century Gothic" w:hAnsi="Century Gothic"/>
          <w:u w:val="single"/>
        </w:rPr>
      </w:pPr>
      <w:r w:rsidRPr="00B600D9">
        <w:rPr>
          <w:rFonts w:ascii="Century Gothic" w:hAnsi="Century Gothic"/>
          <w:u w:val="single"/>
        </w:rPr>
        <w:t>Summary and closing remarks from Tim Loughton MP</w:t>
      </w:r>
    </w:p>
    <w:p w14:paraId="26EE4384" w14:textId="7D1FA87E" w:rsidR="004A383C" w:rsidRPr="00B600D9" w:rsidRDefault="005B61FF" w:rsidP="00077916">
      <w:pPr>
        <w:jc w:val="both"/>
        <w:rPr>
          <w:rFonts w:ascii="Century Gothic" w:hAnsi="Century Gothic"/>
        </w:rPr>
      </w:pPr>
      <w:r w:rsidRPr="00B600D9">
        <w:rPr>
          <w:rFonts w:ascii="Century Gothic" w:hAnsi="Century Gothic"/>
        </w:rPr>
        <w:t>Tim L</w:t>
      </w:r>
      <w:r w:rsidR="00FF5289" w:rsidRPr="00B600D9">
        <w:rPr>
          <w:rFonts w:ascii="Century Gothic" w:hAnsi="Century Gothic"/>
        </w:rPr>
        <w:t>oughton MP thanked all of the speakers, particularly those who travelled long distances to give evidence.</w:t>
      </w:r>
      <w:r w:rsidR="00B600D9" w:rsidRPr="00B600D9">
        <w:rPr>
          <w:rFonts w:ascii="Century Gothic" w:hAnsi="Century Gothic"/>
        </w:rPr>
        <w:t xml:space="preserve"> The points discussed today will feed into the next stages of the enquiry. </w:t>
      </w:r>
      <w:r w:rsidR="00FF5289" w:rsidRPr="00B600D9">
        <w:rPr>
          <w:rFonts w:ascii="Century Gothic" w:hAnsi="Century Gothic"/>
        </w:rPr>
        <w:t xml:space="preserve">The next </w:t>
      </w:r>
      <w:r w:rsidR="00B600D9" w:rsidRPr="00B600D9">
        <w:rPr>
          <w:rFonts w:ascii="Century Gothic" w:hAnsi="Century Gothic"/>
        </w:rPr>
        <w:t xml:space="preserve">evidence </w:t>
      </w:r>
      <w:r w:rsidR="00FF5289" w:rsidRPr="00B600D9">
        <w:rPr>
          <w:rFonts w:ascii="Century Gothic" w:hAnsi="Century Gothic"/>
        </w:rPr>
        <w:t>session will be held on 7</w:t>
      </w:r>
      <w:r w:rsidR="00FF5289" w:rsidRPr="00B600D9">
        <w:rPr>
          <w:rFonts w:ascii="Century Gothic" w:hAnsi="Century Gothic"/>
          <w:vertAlign w:val="superscript"/>
        </w:rPr>
        <w:t>th</w:t>
      </w:r>
      <w:r w:rsidR="00B600D9" w:rsidRPr="00B600D9">
        <w:rPr>
          <w:rFonts w:ascii="Century Gothic" w:hAnsi="Century Gothic"/>
        </w:rPr>
        <w:t xml:space="preserve"> February. </w:t>
      </w:r>
    </w:p>
    <w:sectPr w:rsidR="004A383C" w:rsidRPr="00B60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951"/>
    <w:multiLevelType w:val="hybridMultilevel"/>
    <w:tmpl w:val="015A49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F467DF8"/>
    <w:multiLevelType w:val="hybridMultilevel"/>
    <w:tmpl w:val="D1B0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05999"/>
    <w:multiLevelType w:val="hybridMultilevel"/>
    <w:tmpl w:val="1CE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12676"/>
    <w:multiLevelType w:val="hybridMultilevel"/>
    <w:tmpl w:val="7292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D7E61"/>
    <w:multiLevelType w:val="hybridMultilevel"/>
    <w:tmpl w:val="493A8A08"/>
    <w:lvl w:ilvl="0" w:tplc="5D4CC6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B629D"/>
    <w:multiLevelType w:val="hybridMultilevel"/>
    <w:tmpl w:val="B488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56C07"/>
    <w:multiLevelType w:val="hybridMultilevel"/>
    <w:tmpl w:val="D30ABFDA"/>
    <w:lvl w:ilvl="0" w:tplc="4D76340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B05DD"/>
    <w:multiLevelType w:val="hybridMultilevel"/>
    <w:tmpl w:val="2410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95A6D"/>
    <w:multiLevelType w:val="hybridMultilevel"/>
    <w:tmpl w:val="626E8680"/>
    <w:lvl w:ilvl="0" w:tplc="033EB7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3196A"/>
    <w:multiLevelType w:val="hybridMultilevel"/>
    <w:tmpl w:val="488E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D7A51"/>
    <w:multiLevelType w:val="hybridMultilevel"/>
    <w:tmpl w:val="B30C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8"/>
  </w:num>
  <w:num w:numId="8">
    <w:abstractNumId w:val="1"/>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4F"/>
    <w:rsid w:val="00002799"/>
    <w:rsid w:val="00037DE1"/>
    <w:rsid w:val="00055DE6"/>
    <w:rsid w:val="00071F08"/>
    <w:rsid w:val="00077916"/>
    <w:rsid w:val="000F2A94"/>
    <w:rsid w:val="0018577B"/>
    <w:rsid w:val="001A6FA7"/>
    <w:rsid w:val="001D537A"/>
    <w:rsid w:val="001D724D"/>
    <w:rsid w:val="00204A60"/>
    <w:rsid w:val="00232826"/>
    <w:rsid w:val="00295AC2"/>
    <w:rsid w:val="002C41DB"/>
    <w:rsid w:val="00350B0B"/>
    <w:rsid w:val="00351C19"/>
    <w:rsid w:val="00365E52"/>
    <w:rsid w:val="003A554C"/>
    <w:rsid w:val="004437D6"/>
    <w:rsid w:val="00492D67"/>
    <w:rsid w:val="004A383C"/>
    <w:rsid w:val="00500937"/>
    <w:rsid w:val="00503632"/>
    <w:rsid w:val="00503844"/>
    <w:rsid w:val="00561007"/>
    <w:rsid w:val="00567442"/>
    <w:rsid w:val="005B2645"/>
    <w:rsid w:val="005B61FF"/>
    <w:rsid w:val="005B6571"/>
    <w:rsid w:val="00641A51"/>
    <w:rsid w:val="00664697"/>
    <w:rsid w:val="00674048"/>
    <w:rsid w:val="006A0834"/>
    <w:rsid w:val="0073125B"/>
    <w:rsid w:val="00791823"/>
    <w:rsid w:val="007C6988"/>
    <w:rsid w:val="007D0635"/>
    <w:rsid w:val="007E379A"/>
    <w:rsid w:val="00825F81"/>
    <w:rsid w:val="008415FC"/>
    <w:rsid w:val="00867968"/>
    <w:rsid w:val="008B7382"/>
    <w:rsid w:val="008C136D"/>
    <w:rsid w:val="008C51FA"/>
    <w:rsid w:val="00900EF9"/>
    <w:rsid w:val="00934429"/>
    <w:rsid w:val="009867AE"/>
    <w:rsid w:val="00991A98"/>
    <w:rsid w:val="009A06B6"/>
    <w:rsid w:val="009A2692"/>
    <w:rsid w:val="009F60BB"/>
    <w:rsid w:val="00A03562"/>
    <w:rsid w:val="00B411AA"/>
    <w:rsid w:val="00B44F6E"/>
    <w:rsid w:val="00B600D9"/>
    <w:rsid w:val="00B61EEE"/>
    <w:rsid w:val="00B62325"/>
    <w:rsid w:val="00B9416C"/>
    <w:rsid w:val="00BB214F"/>
    <w:rsid w:val="00BD363C"/>
    <w:rsid w:val="00BE4A07"/>
    <w:rsid w:val="00C23242"/>
    <w:rsid w:val="00C47BBF"/>
    <w:rsid w:val="00C81204"/>
    <w:rsid w:val="00C90B29"/>
    <w:rsid w:val="00CA1D3A"/>
    <w:rsid w:val="00CE55A2"/>
    <w:rsid w:val="00CE6E76"/>
    <w:rsid w:val="00D2486C"/>
    <w:rsid w:val="00D26FEF"/>
    <w:rsid w:val="00D66410"/>
    <w:rsid w:val="00DA40A2"/>
    <w:rsid w:val="00E22744"/>
    <w:rsid w:val="00E5586F"/>
    <w:rsid w:val="00EA313E"/>
    <w:rsid w:val="00EB27FA"/>
    <w:rsid w:val="00ED5B7A"/>
    <w:rsid w:val="00ED7AEB"/>
    <w:rsid w:val="00F07C2C"/>
    <w:rsid w:val="00F17039"/>
    <w:rsid w:val="00F17FE3"/>
    <w:rsid w:val="00F95C03"/>
    <w:rsid w:val="00FC534D"/>
    <w:rsid w:val="00FD7FDB"/>
    <w:rsid w:val="00FE66E0"/>
    <w:rsid w:val="00FF5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A8ED"/>
  <w15:chartTrackingRefBased/>
  <w15:docId w15:val="{4075435D-F24E-4B59-AA1D-24B2D068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4C"/>
    <w:pPr>
      <w:ind w:left="720"/>
      <w:contextualSpacing/>
    </w:pPr>
  </w:style>
  <w:style w:type="character" w:styleId="CommentReference">
    <w:name w:val="annotation reference"/>
    <w:basedOn w:val="DefaultParagraphFont"/>
    <w:uiPriority w:val="99"/>
    <w:semiHidden/>
    <w:unhideWhenUsed/>
    <w:rsid w:val="009F60BB"/>
    <w:rPr>
      <w:sz w:val="16"/>
      <w:szCs w:val="16"/>
    </w:rPr>
  </w:style>
  <w:style w:type="paragraph" w:styleId="CommentText">
    <w:name w:val="annotation text"/>
    <w:basedOn w:val="Normal"/>
    <w:link w:val="CommentTextChar"/>
    <w:uiPriority w:val="99"/>
    <w:semiHidden/>
    <w:unhideWhenUsed/>
    <w:rsid w:val="009F60BB"/>
    <w:pPr>
      <w:spacing w:line="240" w:lineRule="auto"/>
    </w:pPr>
    <w:rPr>
      <w:sz w:val="20"/>
      <w:szCs w:val="20"/>
    </w:rPr>
  </w:style>
  <w:style w:type="character" w:customStyle="1" w:styleId="CommentTextChar">
    <w:name w:val="Comment Text Char"/>
    <w:basedOn w:val="DefaultParagraphFont"/>
    <w:link w:val="CommentText"/>
    <w:uiPriority w:val="99"/>
    <w:semiHidden/>
    <w:rsid w:val="009F60BB"/>
    <w:rPr>
      <w:sz w:val="20"/>
      <w:szCs w:val="20"/>
    </w:rPr>
  </w:style>
  <w:style w:type="paragraph" w:styleId="CommentSubject">
    <w:name w:val="annotation subject"/>
    <w:basedOn w:val="CommentText"/>
    <w:next w:val="CommentText"/>
    <w:link w:val="CommentSubjectChar"/>
    <w:uiPriority w:val="99"/>
    <w:semiHidden/>
    <w:unhideWhenUsed/>
    <w:rsid w:val="009F60BB"/>
    <w:rPr>
      <w:b/>
      <w:bCs/>
    </w:rPr>
  </w:style>
  <w:style w:type="character" w:customStyle="1" w:styleId="CommentSubjectChar">
    <w:name w:val="Comment Subject Char"/>
    <w:basedOn w:val="CommentTextChar"/>
    <w:link w:val="CommentSubject"/>
    <w:uiPriority w:val="99"/>
    <w:semiHidden/>
    <w:rsid w:val="009F60BB"/>
    <w:rPr>
      <w:b/>
      <w:bCs/>
      <w:sz w:val="20"/>
      <w:szCs w:val="20"/>
    </w:rPr>
  </w:style>
  <w:style w:type="paragraph" w:styleId="BalloonText">
    <w:name w:val="Balloon Text"/>
    <w:basedOn w:val="Normal"/>
    <w:link w:val="BalloonTextChar"/>
    <w:uiPriority w:val="99"/>
    <w:semiHidden/>
    <w:unhideWhenUsed/>
    <w:rsid w:val="009F6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BB"/>
    <w:rPr>
      <w:rFonts w:ascii="Segoe UI" w:hAnsi="Segoe UI" w:cs="Segoe UI"/>
      <w:sz w:val="18"/>
      <w:szCs w:val="18"/>
    </w:rPr>
  </w:style>
  <w:style w:type="paragraph" w:styleId="NormalWeb">
    <w:name w:val="Normal (Web)"/>
    <w:basedOn w:val="Normal"/>
    <w:uiPriority w:val="99"/>
    <w:unhideWhenUsed/>
    <w:rsid w:val="005038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8577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1D3A"/>
    <w:rPr>
      <w:color w:val="0563C1" w:themeColor="hyperlink"/>
      <w:u w:val="single"/>
    </w:rPr>
  </w:style>
  <w:style w:type="character" w:styleId="FollowedHyperlink">
    <w:name w:val="FollowedHyperlink"/>
    <w:basedOn w:val="DefaultParagraphFont"/>
    <w:uiPriority w:val="99"/>
    <w:semiHidden/>
    <w:unhideWhenUsed/>
    <w:rsid w:val="007C6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0202">
      <w:bodyDiv w:val="1"/>
      <w:marLeft w:val="0"/>
      <w:marRight w:val="0"/>
      <w:marTop w:val="0"/>
      <w:marBottom w:val="0"/>
      <w:divBdr>
        <w:top w:val="none" w:sz="0" w:space="0" w:color="auto"/>
        <w:left w:val="none" w:sz="0" w:space="0" w:color="auto"/>
        <w:bottom w:val="none" w:sz="0" w:space="0" w:color="auto"/>
        <w:right w:val="none" w:sz="0" w:space="0" w:color="auto"/>
      </w:divBdr>
    </w:div>
    <w:div w:id="218899714">
      <w:bodyDiv w:val="1"/>
      <w:marLeft w:val="0"/>
      <w:marRight w:val="0"/>
      <w:marTop w:val="0"/>
      <w:marBottom w:val="0"/>
      <w:divBdr>
        <w:top w:val="none" w:sz="0" w:space="0" w:color="auto"/>
        <w:left w:val="none" w:sz="0" w:space="0" w:color="auto"/>
        <w:bottom w:val="none" w:sz="0" w:space="0" w:color="auto"/>
        <w:right w:val="none" w:sz="0" w:space="0" w:color="auto"/>
      </w:divBdr>
    </w:div>
    <w:div w:id="363362157">
      <w:bodyDiv w:val="1"/>
      <w:marLeft w:val="0"/>
      <w:marRight w:val="0"/>
      <w:marTop w:val="0"/>
      <w:marBottom w:val="0"/>
      <w:divBdr>
        <w:top w:val="none" w:sz="0" w:space="0" w:color="auto"/>
        <w:left w:val="none" w:sz="0" w:space="0" w:color="auto"/>
        <w:bottom w:val="none" w:sz="0" w:space="0" w:color="auto"/>
        <w:right w:val="none" w:sz="0" w:space="0" w:color="auto"/>
      </w:divBdr>
    </w:div>
    <w:div w:id="478422682">
      <w:bodyDiv w:val="1"/>
      <w:marLeft w:val="0"/>
      <w:marRight w:val="0"/>
      <w:marTop w:val="0"/>
      <w:marBottom w:val="0"/>
      <w:divBdr>
        <w:top w:val="none" w:sz="0" w:space="0" w:color="auto"/>
        <w:left w:val="none" w:sz="0" w:space="0" w:color="auto"/>
        <w:bottom w:val="none" w:sz="0" w:space="0" w:color="auto"/>
        <w:right w:val="none" w:sz="0" w:space="0" w:color="auto"/>
      </w:divBdr>
    </w:div>
    <w:div w:id="576600914">
      <w:bodyDiv w:val="1"/>
      <w:marLeft w:val="0"/>
      <w:marRight w:val="0"/>
      <w:marTop w:val="0"/>
      <w:marBottom w:val="0"/>
      <w:divBdr>
        <w:top w:val="none" w:sz="0" w:space="0" w:color="auto"/>
        <w:left w:val="none" w:sz="0" w:space="0" w:color="auto"/>
        <w:bottom w:val="none" w:sz="0" w:space="0" w:color="auto"/>
        <w:right w:val="none" w:sz="0" w:space="0" w:color="auto"/>
      </w:divBdr>
    </w:div>
    <w:div w:id="636228330">
      <w:bodyDiv w:val="1"/>
      <w:marLeft w:val="0"/>
      <w:marRight w:val="0"/>
      <w:marTop w:val="0"/>
      <w:marBottom w:val="0"/>
      <w:divBdr>
        <w:top w:val="none" w:sz="0" w:space="0" w:color="auto"/>
        <w:left w:val="none" w:sz="0" w:space="0" w:color="auto"/>
        <w:bottom w:val="none" w:sz="0" w:space="0" w:color="auto"/>
        <w:right w:val="none" w:sz="0" w:space="0" w:color="auto"/>
      </w:divBdr>
    </w:div>
    <w:div w:id="700712007">
      <w:bodyDiv w:val="1"/>
      <w:marLeft w:val="0"/>
      <w:marRight w:val="0"/>
      <w:marTop w:val="0"/>
      <w:marBottom w:val="0"/>
      <w:divBdr>
        <w:top w:val="none" w:sz="0" w:space="0" w:color="auto"/>
        <w:left w:val="none" w:sz="0" w:space="0" w:color="auto"/>
        <w:bottom w:val="none" w:sz="0" w:space="0" w:color="auto"/>
        <w:right w:val="none" w:sz="0" w:space="0" w:color="auto"/>
      </w:divBdr>
    </w:div>
    <w:div w:id="700935905">
      <w:bodyDiv w:val="1"/>
      <w:marLeft w:val="0"/>
      <w:marRight w:val="0"/>
      <w:marTop w:val="0"/>
      <w:marBottom w:val="0"/>
      <w:divBdr>
        <w:top w:val="none" w:sz="0" w:space="0" w:color="auto"/>
        <w:left w:val="none" w:sz="0" w:space="0" w:color="auto"/>
        <w:bottom w:val="none" w:sz="0" w:space="0" w:color="auto"/>
        <w:right w:val="none" w:sz="0" w:space="0" w:color="auto"/>
      </w:divBdr>
    </w:div>
    <w:div w:id="769202451">
      <w:bodyDiv w:val="1"/>
      <w:marLeft w:val="0"/>
      <w:marRight w:val="0"/>
      <w:marTop w:val="0"/>
      <w:marBottom w:val="0"/>
      <w:divBdr>
        <w:top w:val="none" w:sz="0" w:space="0" w:color="auto"/>
        <w:left w:val="none" w:sz="0" w:space="0" w:color="auto"/>
        <w:bottom w:val="none" w:sz="0" w:space="0" w:color="auto"/>
        <w:right w:val="none" w:sz="0" w:space="0" w:color="auto"/>
      </w:divBdr>
    </w:div>
    <w:div w:id="853887281">
      <w:bodyDiv w:val="1"/>
      <w:marLeft w:val="0"/>
      <w:marRight w:val="0"/>
      <w:marTop w:val="0"/>
      <w:marBottom w:val="0"/>
      <w:divBdr>
        <w:top w:val="none" w:sz="0" w:space="0" w:color="auto"/>
        <w:left w:val="none" w:sz="0" w:space="0" w:color="auto"/>
        <w:bottom w:val="none" w:sz="0" w:space="0" w:color="auto"/>
        <w:right w:val="none" w:sz="0" w:space="0" w:color="auto"/>
      </w:divBdr>
    </w:div>
    <w:div w:id="909191467">
      <w:bodyDiv w:val="1"/>
      <w:marLeft w:val="0"/>
      <w:marRight w:val="0"/>
      <w:marTop w:val="0"/>
      <w:marBottom w:val="0"/>
      <w:divBdr>
        <w:top w:val="none" w:sz="0" w:space="0" w:color="auto"/>
        <w:left w:val="none" w:sz="0" w:space="0" w:color="auto"/>
        <w:bottom w:val="none" w:sz="0" w:space="0" w:color="auto"/>
        <w:right w:val="none" w:sz="0" w:space="0" w:color="auto"/>
      </w:divBdr>
    </w:div>
    <w:div w:id="1170021344">
      <w:bodyDiv w:val="1"/>
      <w:marLeft w:val="0"/>
      <w:marRight w:val="0"/>
      <w:marTop w:val="0"/>
      <w:marBottom w:val="0"/>
      <w:divBdr>
        <w:top w:val="none" w:sz="0" w:space="0" w:color="auto"/>
        <w:left w:val="none" w:sz="0" w:space="0" w:color="auto"/>
        <w:bottom w:val="none" w:sz="0" w:space="0" w:color="auto"/>
        <w:right w:val="none" w:sz="0" w:space="0" w:color="auto"/>
      </w:divBdr>
    </w:div>
    <w:div w:id="1331445941">
      <w:bodyDiv w:val="1"/>
      <w:marLeft w:val="0"/>
      <w:marRight w:val="0"/>
      <w:marTop w:val="0"/>
      <w:marBottom w:val="0"/>
      <w:divBdr>
        <w:top w:val="none" w:sz="0" w:space="0" w:color="auto"/>
        <w:left w:val="none" w:sz="0" w:space="0" w:color="auto"/>
        <w:bottom w:val="none" w:sz="0" w:space="0" w:color="auto"/>
        <w:right w:val="none" w:sz="0" w:space="0" w:color="auto"/>
      </w:divBdr>
    </w:div>
    <w:div w:id="1716848353">
      <w:bodyDiv w:val="1"/>
      <w:marLeft w:val="0"/>
      <w:marRight w:val="0"/>
      <w:marTop w:val="0"/>
      <w:marBottom w:val="0"/>
      <w:divBdr>
        <w:top w:val="none" w:sz="0" w:space="0" w:color="auto"/>
        <w:left w:val="none" w:sz="0" w:space="0" w:color="auto"/>
        <w:bottom w:val="none" w:sz="0" w:space="0" w:color="auto"/>
        <w:right w:val="none" w:sz="0" w:space="0" w:color="auto"/>
      </w:divBdr>
    </w:div>
    <w:div w:id="1762675159">
      <w:bodyDiv w:val="1"/>
      <w:marLeft w:val="0"/>
      <w:marRight w:val="0"/>
      <w:marTop w:val="0"/>
      <w:marBottom w:val="0"/>
      <w:divBdr>
        <w:top w:val="none" w:sz="0" w:space="0" w:color="auto"/>
        <w:left w:val="none" w:sz="0" w:space="0" w:color="auto"/>
        <w:bottom w:val="none" w:sz="0" w:space="0" w:color="auto"/>
        <w:right w:val="none" w:sz="0" w:space="0" w:color="auto"/>
      </w:divBdr>
    </w:div>
    <w:div w:id="1871533390">
      <w:bodyDiv w:val="1"/>
      <w:marLeft w:val="0"/>
      <w:marRight w:val="0"/>
      <w:marTop w:val="0"/>
      <w:marBottom w:val="0"/>
      <w:divBdr>
        <w:top w:val="none" w:sz="0" w:space="0" w:color="auto"/>
        <w:left w:val="none" w:sz="0" w:space="0" w:color="auto"/>
        <w:bottom w:val="none" w:sz="0" w:space="0" w:color="auto"/>
        <w:right w:val="none" w:sz="0" w:space="0" w:color="auto"/>
      </w:divBdr>
    </w:div>
    <w:div w:id="1922173176">
      <w:bodyDiv w:val="1"/>
      <w:marLeft w:val="0"/>
      <w:marRight w:val="0"/>
      <w:marTop w:val="0"/>
      <w:marBottom w:val="0"/>
      <w:divBdr>
        <w:top w:val="none" w:sz="0" w:space="0" w:color="auto"/>
        <w:left w:val="none" w:sz="0" w:space="0" w:color="auto"/>
        <w:bottom w:val="none" w:sz="0" w:space="0" w:color="auto"/>
        <w:right w:val="none" w:sz="0" w:space="0" w:color="auto"/>
      </w:divBdr>
    </w:div>
    <w:div w:id="1930697055">
      <w:bodyDiv w:val="1"/>
      <w:marLeft w:val="0"/>
      <w:marRight w:val="0"/>
      <w:marTop w:val="0"/>
      <w:marBottom w:val="0"/>
      <w:divBdr>
        <w:top w:val="none" w:sz="0" w:space="0" w:color="auto"/>
        <w:left w:val="none" w:sz="0" w:space="0" w:color="auto"/>
        <w:bottom w:val="none" w:sz="0" w:space="0" w:color="auto"/>
        <w:right w:val="none" w:sz="0" w:space="0" w:color="auto"/>
      </w:divBdr>
    </w:div>
    <w:div w:id="19883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org.uk/resources-publications/resources/no-good-options-report-inquiry-childrens-social-care-eng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B603-2AA6-452F-8DF3-8F134E00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Renton</dc:creator>
  <cp:keywords/>
  <dc:description/>
  <cp:lastModifiedBy>Kady Billington Murphy</cp:lastModifiedBy>
  <cp:revision>3</cp:revision>
  <cp:lastPrinted>2018-07-10T14:08:00Z</cp:lastPrinted>
  <dcterms:created xsi:type="dcterms:W3CDTF">2018-08-22T09:49:00Z</dcterms:created>
  <dcterms:modified xsi:type="dcterms:W3CDTF">2018-08-22T09:50:00Z</dcterms:modified>
</cp:coreProperties>
</file>